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Meta"/>
        <w:jc w:val="left"/>
      </w:pPr>
      <w:r>
        <w:t>WIRKUNGSÖKONOMIE</w:t>
      </w:r>
    </w:p>
    <w:p>
      <w:pPr>
        <w:pStyle w:val="Title"/>
      </w:pPr>
      <w:r>
        <w:t>Einzeldossier-Set Arbeit &amp; Einkommen / Automatisierung</w:t>
      </w:r>
    </w:p>
    <w:p>
      <w:pPr>
        <w:pStyle w:val="Heading2"/>
      </w:pPr>
      <w:r>
        <w:t>Dossierlogik für Unterbereiche, Beispiele, Datenquellen und Rechenmodelle</w:t>
      </w:r>
    </w:p>
    <w:p>
      <w:pPr>
        <w:pStyle w:val="PullQuote"/>
      </w:pPr>
      <w:r>
        <w:t>Wirkung statt Kapital. Für Mensch, Planet und Demokratie.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BF4E4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Autorin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Natalie Weber</w:t>
            </w:r>
          </w:p>
        </w:tc>
      </w:tr>
      <w:tr>
        <w:tc>
          <w:tcPr>
            <w:tcW w:type="dxa" w:w="5112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Referenz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Wirkungsökonomie</w:t>
            </w:r>
          </w:p>
        </w:tc>
      </w:tr>
      <w:tr>
        <w:tc>
          <w:tcPr>
            <w:tcW w:type="dxa" w:w="5112"/>
            <w:shd w:fill="FBF4E4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Stand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24. Mai 2026</w:t>
            </w:r>
          </w:p>
        </w:tc>
      </w:tr>
      <w:tr>
        <w:tc>
          <w:tcPr>
            <w:tcW w:type="dxa" w:w="5112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Version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v0.1</w:t>
            </w:r>
          </w:p>
        </w:tc>
      </w:tr>
      <w:tr>
        <w:tc>
          <w:tcPr>
            <w:tcW w:type="dxa" w:w="5112"/>
            <w:shd w:fill="FBF4E4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Status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Dossier-Set / öffentliche Arbeitsfassung</w:t>
            </w:r>
          </w:p>
        </w:tc>
      </w:tr>
      <w:tr>
        <w:tc>
          <w:tcPr>
            <w:tcW w:type="dxa" w:w="5112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Öffentlichkeit</w:t>
            </w:r>
          </w:p>
        </w:tc>
        <w:tc>
          <w:tcPr>
            <w:tcW w:type="dxa" w:w="5112"/>
            <w:shd w:fill="FFFFFF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vAlign w:val="center"/>
          </w:tcPr>
          <w:p>
            <w:r>
              <w:rPr>
                <w:sz w:val="17"/>
              </w:rPr>
              <w:t>Öffentliche Arbeitsfassung. Keine internen CodeX- oder Repository-Anweisungen enthalten.</w:t>
            </w:r>
          </w:p>
        </w:tc>
      </w:tr>
    </w:tbl>
    <w:p>
      <w:pPr/>
      <w:r>
        <w:t>Hinweis: Dieses Dokument beschreibt ein wirkungsökonomisches Konzept. Es ist keine Rechts-, Steuer-, Anlage- oder Sozialberatung. Rechenmodelle sind als Arbeitsannahmen gekennzeichnet.</w:t>
      </w:r>
    </w:p>
    <w:p>
      <w:r>
        <w:br w:type="page"/>
      </w:r>
    </w:p>
    <w:p>
      <w:pPr>
        <w:pStyle w:val="Heading1"/>
      </w:pPr>
      <w:r>
        <w:t>Einleitung</w:t>
      </w:r>
    </w:p>
    <w:p>
      <w:r>
        <w:t>Dieses Dokument ergänzt die Detailkonzepte um praktische Dossierbausteine. Jedes Unterdossier enthält Beispiel, Datenquellen, Rechenlogik, politische Optionen und Website-Umsetzung. Die Werte sind modellhaft und als Arbeitsannahmen gekennzeichnet.</w:t>
      </w:r>
    </w:p>
    <w:p>
      <w:pPr>
        <w:pStyle w:val="Heading1"/>
      </w:pPr>
      <w:r>
        <w:t>Dossier 1: Arbeit, Einkommen und Wirkung</w:t>
      </w:r>
    </w:p>
    <w:p>
      <w:r>
        <w:t>Dieses Detailkonzept ordnet Erwerbsarbeit, Einkommen, Beschäftigung und Wirkleistung neu. Es zeigt, warum Arbeit nicht automatisch Wirkung ist und warum Einkommen nicht automatisch Leistung beweist.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Arbeit, Einkommen und Wirkung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2: Automatisierung und Maschinenleistung</w:t>
      </w:r>
    </w:p>
    <w:p>
      <w:r>
        <w:t>Dieses Detailkonzept beschreibt Maschinenleistung als neue ökonomische Kategorie. KI, Robotik und algorithmische Systeme erzeugen Produktivität, aber keine soziale Beitragsbasis im alten Sinn.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Automatisierung und Maschinenleistung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3: Sozialabgaben entkoppeln</w:t>
      </w:r>
    </w:p>
    <w:p>
      <w:r>
        <w:t>Dieses Detailkonzept entwickelt die schrittweise Entkopplung der Sozialabgaben von menschlicher Arbeit. Ziel ist, Beschäftigung zu entlasten und automatisierte Wertschöpfung einzubeziehen.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Sozialabgaben entkoppeln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4: Wirkungseinkommen</w:t>
      </w:r>
    </w:p>
    <w:p>
      <w:r>
        <w:t>Dieses Detailkonzept beschreibt Wirkungseinkommen als Verbindung von Grunddividende, Markteinkommen, Wirkungsbonus und Transformationsschutz.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Wirkungseinkommen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5: Wirkungseinkommensteuer WEstG</w:t>
      </w:r>
    </w:p>
    <w:p>
      <w:r>
        <w:t>Dieses Detailkonzept ordnet Einkommen nach Höhe, Entstehungskontext und Wirkung. Es verlinkt Arbeit/Einkommen mit Staat/Recht und dem WStG.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Wirkungseinkommensteuer WEstG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6: Wirkungsfonds und Wirkungsdividende</w:t>
      </w:r>
    </w:p>
    <w:p>
      <w:r>
        <w:t>Dieses Detailkonzept beschreibt die Fondsarchitektur, aus der Grunddividende, Wirkungsboni, Weiterbildungsfonds und Transformationsschutz entstehen.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Wirkungsfonds und Wirkungsdividende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7: Care, Bildung, Ehrenamt und Gemeinwesen</w:t>
      </w:r>
    </w:p>
    <w:p>
      <w:r>
        <w:t>Dieses Detailkonzept zeigt, wie hochwirksame Tätigkeiten sichtbar werden, ohne Menschen zu überwachen oder zu entwürdigen.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Care, Bildung, Ehrenamt und Gemeinwesen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8: Unternehmen, Roboter und Mitbestimmung</w:t>
      </w:r>
    </w:p>
    <w:p>
      <w:r>
        <w:t>Dieses Detailkonzept behandelt die Unternehmensperspektive: Was geschieht, wenn Menschen durch Roboter ersetzt werden, und wie entsteht eine faire Rückkopplung?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Unternehmen, Roboter und Mitbestimmung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9: Übergangsarbeitsmarkt und Weiterbildung</w:t>
      </w:r>
    </w:p>
    <w:p>
      <w:r>
        <w:t>Dieses Detailkonzept beschreibt die Übergangslogik: Arbeit wird nicht verschwinden, aber sich verschieben. Weiterbildung, Arbeitszeitverkürzung und neue Tätigkeitsfelder werden zum Systeminstrument.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Übergangsarbeitsmarkt und Weiterbildung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Dossier 10: Politische Anschlussfähigkeit</w:t>
      </w:r>
    </w:p>
    <w:p>
      <w:r>
        <w:t>Dieses Detailkonzept beschreibt, wie unterschiedliche Parteien und Ebenen die Umsetzung verschieden ausgestalten können, ohne den Wirkungsrahmen zu verlassen.</w:t>
      </w:r>
    </w:p>
    <w:p>
      <w:pPr>
        <w:pStyle w:val="Heading2"/>
      </w:pPr>
      <w:r>
        <w:t>Praxisfrage</w:t>
      </w:r>
    </w:p>
    <w:p>
      <w:r>
        <w:t>Welche konkrete Entscheidung soll dieses Dossier unterstützen? Im Unterbereich Politische Anschlussfähigkeit geht es darum, Wirkung sichtbar zu machen, Fehlanreize zu identifizieren und eine demokratisch gestaltbare Umsetzungsoption vorzubereiten.</w:t>
      </w:r>
    </w:p>
    <w:p>
      <w:pPr>
        <w:pStyle w:val="Heading2"/>
      </w:pPr>
      <w:r>
        <w:t>Beispiel / Use Case</w:t>
      </w:r>
    </w:p>
    <w:p>
      <w:r>
        <w:t>Beispiel: Ein mittelständisches Unternehmen führt KI-gestützte Automatisierung ein. Produktivität steigt, aber die Lohnsumme sinkt. Das klassische System verliert Sozialbeiträge. Das wirkungsökonomische System fragt: Wird die Automatisierung sozial rückgekoppelt? Entstehen Weiterbildung, Arbeitszeitverkürzung, bessere Produkte, geringere Emissionen oder regionale Stabilisierung?</w:t>
      </w:r>
    </w:p>
    <w:p>
      <w:pPr>
        <w:pStyle w:val="Heading2"/>
      </w:pPr>
      <w:r>
        <w:t>Datenquellen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rPr>
          <w:tblHeader w:val="true"/>
        </w:trPr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Daten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Quelle</w:t>
            </w:r>
          </w:p>
        </w:tc>
        <w:tc>
          <w:tcPr>
            <w:tcW w:type="dxa" w:w="3408"/>
            <w:shd w:fill="F6F1E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r>
              <w:rPr>
                <w:b/>
                <w:color w:val="0B1D33"/>
                <w:sz w:val="14"/>
              </w:rPr>
              <w:t>Anwendung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Beschäftigte / FTE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Personalstatistik, BA, Destatis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Ausgangsbasis für Lohnsumme und Beitragslücke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Automatisierungsinvestition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Anlagenbuchhaltung, IT-Budget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Bestimmung Maschinenwertschöpfung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Produktivität / Output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Controlling, Produktionsdaten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Vergleich vor/nach Automatisierung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Wirkungsdaten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WÖk-IDs, Scorecards, CSRD/ESRS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Wirkungsfaktor, Bonus/Malus</w:t>
            </w:r>
          </w:p>
        </w:tc>
      </w:tr>
      <w:tr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  <w:shd w:fill="FAF8F2"/>
          </w:tcPr>
          <w:p>
            <w:pPr>
              <w:spacing w:after="20"/>
            </w:pPr>
            <w:r>
              <w:rPr>
                <w:sz w:val="14"/>
              </w:rPr>
              <w:t>Regionale Daten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Kommunen, Arbeitsmarkt, Weiterbildung</w:t>
            </w:r>
          </w:p>
        </w:tc>
        <w:tc>
          <w:tcPr>
            <w:tcW w:type="dxa" w:w="3408"/>
            <w:tcBorders>
              <w:top w:val="single" w:sz="8" w:space="0" w:color="D8D3C8"/>
              <w:left w:val="single" w:sz="8" w:space="0" w:color="D8D3C8"/>
              <w:bottom w:val="single" w:sz="8" w:space="0" w:color="D8D3C8"/>
              <w:right w:val="single" w:sz="8" w:space="0" w:color="D8D3C8"/>
            </w:tcBorders>
          </w:tcPr>
          <w:p>
            <w:pPr>
              <w:spacing w:after="20"/>
            </w:pPr>
            <w:r>
              <w:rPr>
                <w:sz w:val="14"/>
              </w:rPr>
              <w:t>Transformations- und Fondsbedarf</w:t>
            </w:r>
          </w:p>
        </w:tc>
      </w:tr>
    </w:tbl>
    <w:p>
      <w:pPr>
        <w:pStyle w:val="Heading2"/>
      </w:pPr>
      <w:r>
        <w:t>Rechenlogik</w:t>
      </w:r>
    </w:p>
    <w:p>
      <w:r>
        <w:t>Die Basismatrix lautet: Beitragslücke = wegfallende Lohnsumme x bisheriger Beitragssatz. Automatisierungsüberschuss = zusätzliche Marge oder Kostenersparnis durch Automatisierung. Rückkopplungsbetrag = Automatisierungsüberschuss x Rückkopplungsquote x Wirkungsfaktor. Der Wirkungsfaktor wird durch positive oder negative Unternehmens-, Beschäftigungs-, Produkt- und Gemeinwesenwirkung angepasst.</w:t>
      </w:r>
    </w:p>
    <w:p>
      <w:pPr>
        <w:pStyle w:val="Heading2"/>
      </w:pPr>
      <w:r>
        <w:t>Risiken und Schutz</w:t>
      </w:r>
    </w:p>
    <w:p>
      <w:pPr>
        <w:pStyle w:val="ListBullet"/>
        <w:spacing w:after="40"/>
      </w:pPr>
      <w:r>
        <w:t>Scheinwirkung und KPI-Gaming vermeiden.</w:t>
      </w:r>
    </w:p>
    <w:p>
      <w:pPr>
        <w:pStyle w:val="ListBullet"/>
        <w:spacing w:after="40"/>
      </w:pPr>
      <w:r>
        <w:t>Keine personenbezogene Totalüberwachung.</w:t>
      </w:r>
    </w:p>
    <w:p>
      <w:pPr>
        <w:pStyle w:val="ListBullet"/>
        <w:spacing w:after="40"/>
      </w:pPr>
      <w:r>
        <w:t>KMU-Schutz und Übergangsfristen.</w:t>
      </w:r>
    </w:p>
    <w:p>
      <w:pPr>
        <w:pStyle w:val="ListBullet"/>
        <w:spacing w:after="40"/>
      </w:pPr>
      <w:r>
        <w:t>Rechtschutz und demokratische Korrektur.</w:t>
      </w:r>
    </w:p>
    <w:p>
      <w:pPr>
        <w:pStyle w:val="ListBullet"/>
        <w:spacing w:after="40"/>
      </w:pPr>
      <w:r>
        <w:t>Datenqualität offen kennzeichnen.</w:t>
      </w:r>
    </w:p>
    <w:p>
      <w:pPr>
        <w:pStyle w:val="Heading2"/>
      </w:pPr>
      <w:r>
        <w:t>Politische Optionen</w:t>
      </w:r>
    </w:p>
    <w:p>
      <w:r>
        <w:t>Der Unterbereich kann freiwillig, steuerlich, förderpolitisch oder gesetzlich ausgestaltet werden. Parteien können unterschiedliche Prioritäten wählen: Entlastung von Arbeit, Schutz vor Verdrängung, Innovationsförderung, Fondslogik, kommunale Piloten oder sozialstaatliche Grundsicherung.</w:t>
      </w:r>
    </w:p>
    <w:p>
      <w:pPr>
        <w:pStyle w:val="Heading1"/>
      </w:pPr>
      <w:r>
        <w:t>Quellen</w:t>
      </w:r>
    </w:p>
    <w:p>
      <w:pPr>
        <w:pStyle w:val="ListBullet"/>
        <w:spacing w:after="40"/>
      </w:pPr>
      <w:r>
        <w:t>Natalie Weber: Wenn Maschinen arbeiten. Warum wir ein neues System brauchen, 2025.</w:t>
      </w:r>
    </w:p>
    <w:p>
      <w:pPr>
        <w:pStyle w:val="ListBullet"/>
        <w:spacing w:after="40"/>
      </w:pPr>
      <w:r>
        <w:t>Natalie Weber: Die neue Ordnung des Wohlstands, 2026, insbesondere Kapitel 15, 56, 57 und die Teile zu Wirkungseinkommen, Wirkungsfonds und Wirkungslenkung.</w:t>
      </w:r>
    </w:p>
    <w:p>
      <w:pPr>
        <w:pStyle w:val="ListBullet"/>
        <w:spacing w:after="40"/>
      </w:pPr>
      <w:r>
        <w:t>Natalie Weber: Arbeitspapier Wirkungseinkommensteuer (WEstG), 2025.</w:t>
      </w:r>
    </w:p>
    <w:p>
      <w:pPr>
        <w:pStyle w:val="ListBullet"/>
        <w:spacing w:after="40"/>
      </w:pPr>
      <w:r>
        <w:t>Natalie Weber: Working-Paper Rentensystem / Wirkungsrente, 2025.</w:t>
      </w:r>
    </w:p>
    <w:p>
      <w:pPr>
        <w:pStyle w:val="ListBullet"/>
        <w:spacing w:after="40"/>
      </w:pPr>
      <w:r>
        <w:t>Natalie Weber: Systemmodell der Wirkungsökonomie, 2025.</w:t>
      </w:r>
    </w:p>
    <w:p>
      <w:pPr>
        <w:pStyle w:val="ListBullet"/>
        <w:spacing w:after="40"/>
      </w:pPr>
      <w:r>
        <w:t>Natalie Weber: WStG Oktober 2025 und Technische Leitlinien WUStG, 2025.</w:t>
      </w:r>
    </w:p>
    <w:p>
      <w:pPr>
        <w:pStyle w:val="ListBullet"/>
        <w:spacing w:after="40"/>
      </w:pPr>
      <w:r>
        <w:t>Natalie Weber: Führender Begriffsleitfaden der Wirkungsökonomie, 2026.</w:t>
      </w:r>
    </w:p>
    <w:p>
      <w:pPr>
        <w:pStyle w:val="ListBullet"/>
        <w:spacing w:after="40"/>
      </w:pPr>
      <w:r>
        <w:t>OECD: AI and work / Future of work, laufende Themenseiten und Analysen.</w:t>
      </w:r>
    </w:p>
    <w:p>
      <w:pPr>
        <w:pStyle w:val="ListBullet"/>
        <w:spacing w:after="40"/>
      </w:pPr>
      <w:r>
        <w:t>ILO: Generative AI and Jobs, Working Paper 96 (2023) und Refined Global Index of Occupational Exposure (2025).</w:t>
      </w:r>
    </w:p>
    <w:p>
      <w:pPr>
        <w:pStyle w:val="ListBullet"/>
        <w:spacing w:after="40"/>
      </w:pPr>
      <w:r>
        <w:t>Europäische Kommission: AI Act, Inkrafttreten 1. August 2024 und Anwendung nach Zeitplan mit Ausnahmen.</w:t>
      </w:r>
    </w:p>
    <w:p>
      <w:pPr>
        <w:pStyle w:val="ListBullet"/>
        <w:spacing w:after="40"/>
      </w:pPr>
      <w:r>
        <w:t>EU: Platform Work Directive (EU) 2024/2831; algorithmisches Management, Transparenz und menschliche Aufsicht.</w:t>
      </w:r>
    </w:p>
    <w:p>
      <w:pPr>
        <w:pStyle w:val="ListBullet"/>
        <w:spacing w:after="40"/>
      </w:pPr>
      <w:r>
        <w:t>Destatis: Arbeitsmarkt, Erwerbstätigkeit und sozialversicherungspflichtige Beschäftigung in Deutschland.</w:t>
      </w:r>
    </w:p>
    <w:p>
      <w:pPr>
        <w:pStyle w:val="ListBullet"/>
        <w:spacing w:after="40"/>
      </w:pPr>
      <w:r>
        <w:t>IAB: Job-Futuromat und Szenarioanalysen zu KI, Digitalisierung und Substituierbarkeitspotenzialen.</w:t>
      </w:r>
    </w:p>
    <w:p>
      <w:pPr>
        <w:pStyle w:val="ListBullet"/>
        <w:spacing w:after="40"/>
      </w:pPr>
      <w:r>
        <w:t>Bundesagentur für Arbeit / BERUFENET: Digitalisierung und Ersetzbarkeit von Tätigkeiten.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Meta"/>
      <w:jc w:val="center"/>
    </w:pPr>
    <w:r>
      <w:t>© 2026 Natalie Weber · Wirkungsökonomie · v0.1 · Dossier-Set / öffentliche Arbeitsfassung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Meta"/>
      <w:jc w:val="right"/>
    </w:pPr>
    <w:r>
      <w:t>WIRKUNGSÖKONOMIE  |  Arbeit &amp; Einkommen / Automatisierung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Source Sans 3" w:hAnsi="Source Sans 3" w:eastAsia="Source Sans 3"/>
      <w:color w:val="2E2E2E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 w:ascii="Georgia" w:hAnsi="Georgia" w:eastAsia="Georgia"/>
      <w:b/>
      <w:bCs/>
      <w:color w:val="0B1D33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Theme="majorHAnsi" w:eastAsiaTheme="majorEastAsia" w:hAnsiTheme="majorHAnsi" w:cstheme="majorBidi" w:ascii="Georgia" w:hAnsi="Georgia" w:eastAsia="Georgia"/>
      <w:b/>
      <w:bCs/>
      <w:color w:val="0B1D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Theme="majorHAnsi" w:eastAsiaTheme="majorEastAsia" w:hAnsiTheme="majorHAnsi" w:cstheme="majorBidi" w:ascii="Source Sans 3" w:hAnsi="Source Sans 3" w:eastAsia="Source Sans 3"/>
      <w:b/>
      <w:bCs/>
      <w:color w:val="2E7D5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160"/>
      <w:contextualSpacing/>
    </w:pPr>
    <w:rPr>
      <w:rFonts w:asciiTheme="majorHAnsi" w:eastAsiaTheme="majorEastAsia" w:hAnsiTheme="majorHAnsi" w:cstheme="majorBidi" w:ascii="Georgia" w:hAnsi="Georgia" w:eastAsia="Georgia"/>
      <w:b/>
      <w:color w:val="0B1D33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eta">
    <w:name w:val="Meta"/>
    <w:pPr>
      <w:spacing w:after="40"/>
    </w:pPr>
    <w:rPr>
      <w:rFonts w:ascii="Source Sans 3" w:hAnsi="Source Sans 3"/>
      <w:b/>
      <w:color w:val="2E7D5C"/>
      <w:sz w:val="17"/>
    </w:rPr>
  </w:style>
  <w:style w:type="paragraph" w:customStyle="1" w:styleId="PullQuote">
    <w:name w:val="PullQuote"/>
    <w:pPr>
      <w:spacing w:before="160" w:after="160"/>
      <w:ind w:left="288" w:right="288"/>
    </w:pPr>
    <w:rPr>
      <w:rFonts w:ascii="Georgia" w:hAnsi="Georgia"/>
      <w:i/>
      <w:color w:val="0B1D33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