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84"/>
        <w:gridCol w:w="2880"/>
      </w:tblGrid>
      <w:tr>
        <w:tc>
          <w:tcPr>
            <w:tcW w:type="dxa" w:w="4997"/>
            <w:shd w:fill="F6F1E8"/>
            <w:tcBorders>
              <w:top w:val="single" w:sz="3" w:color="D7D3C"/>
              <w:bottom w:val="single" w:sz="3" w:color="D7D3C"/>
            </w:tcBorders>
            <w:vAlign w:val="center"/>
          </w:tcPr>
          <w:p>
            <w:pPr>
              <w:spacing w:after="0"/>
            </w:pPr>
            <w:r>
              <w:rPr>
                <w:rFonts w:ascii="Merriweather" w:hAnsi="Merriweather"/>
                <w:b/>
                <w:color w:val="081326"/>
                <w:sz w:val="30"/>
              </w:rPr>
              <w:t>WIRKUNGSÖKONOMIE</w:t>
            </w:r>
            <w:r>
              <w:br/>
            </w:r>
            <w:r>
              <w:rPr>
                <w:rFonts w:ascii="Source Sans 3" w:hAnsi="Source Sans 3"/>
                <w:color w:val="C8933C"/>
                <w:sz w:val="17"/>
              </w:rPr>
              <w:t>Wirkung statt Kapital. Für Mensch, Planet und Demokratie.</w:t>
            </w:r>
          </w:p>
        </w:tc>
        <w:tc>
          <w:tcPr>
            <w:tcW w:type="dxa" w:w="4997"/>
            <w:shd w:fill="F6F1E8"/>
            <w:tcBorders>
              <w:top w:val="single" w:sz="3" w:color="D7D3C"/>
              <w:bottom w:val="single" w:sz="3" w:color="D7D3C"/>
            </w:tcBorders>
            <w:vAlign w:val="center"/>
          </w:tcPr>
          <w:p>
            <w:pPr>
              <w:jc w:val="right"/>
            </w:pPr>
            <w:r>
              <w:rPr>
                <w:rFonts w:ascii="Source Sans 3" w:hAnsi="Source Sans 3"/>
                <w:color w:val="6B6F73"/>
                <w:sz w:val="17"/>
              </w:rPr>
              <w:t>Gesamtdossier</w:t>
              <w:br/>
              <w:t>v0.1 · Diskussionsfassung</w:t>
              <w:br/>
              <w:t>Stand: Mai 2026</w:t>
            </w:r>
          </w:p>
        </w:tc>
      </w:tr>
    </w:tbl>
    <w:p/>
    <w:p>
      <w:pPr>
        <w:pStyle w:val="Title"/>
        <w:spacing w:after="80"/>
      </w:pPr>
      <w:r>
        <w:t>Bildung &amp; Wirkungsschule</w:t>
      </w:r>
    </w:p>
    <w:p>
      <w:pPr>
        <w:pStyle w:val="Subtitle"/>
        <w:spacing w:after="200"/>
      </w:pPr>
      <w:r>
        <w:t>Beispiele, Bewertungslogik, Datenquellen, Umsetzung und Tool-Architektur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Autorin</w:t>
            </w:r>
          </w:p>
        </w:tc>
        <w:tc>
          <w:tcPr>
            <w:tcW w:type="dxa" w:w="4997"/>
            <w:shd w:fill="FBF8F1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7"/>
              </w:rPr>
              <w:t>Natalie Weber</w:t>
            </w:r>
          </w:p>
        </w:tc>
      </w:tr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Referenz</w:t>
            </w:r>
          </w:p>
        </w:tc>
        <w:tc>
          <w:tcPr>
            <w:tcW w:type="dxa" w:w="4997"/>
            <w:shd w:fill="FBF8F1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7"/>
              </w:rPr>
              <w:t>Wirkungsökonomie</w:t>
            </w:r>
          </w:p>
        </w:tc>
      </w:tr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Geltung</w:t>
            </w:r>
          </w:p>
        </w:tc>
        <w:tc>
          <w:tcPr>
            <w:tcW w:type="dxa" w:w="4997"/>
            <w:shd w:fill="FBF8F1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7"/>
              </w:rPr>
              <w:t>Öffentliche Konzept- und Dossierfassung.</w:t>
            </w:r>
          </w:p>
        </w:tc>
      </w:tr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Leitformel</w:t>
            </w:r>
          </w:p>
        </w:tc>
        <w:tc>
          <w:tcPr>
            <w:tcW w:type="dxa" w:w="4997"/>
            <w:shd w:fill="FBF8F1"/>
            <w:tcBorders>
              <w:top w:val="single" w:sz="2" w:color="D7D3C"/>
              <w:bottom w:val="single" w:sz="2" w:color="D7D3C"/>
            </w:tcBorders>
            <w:vAlign w:val="top"/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7"/>
              </w:rPr>
              <w:t>Wirkung ist neutral und relational. Bewertet wird am Referenzrahmen SDGs, Agenda 2030 und SDG+. Ziel ist positive Netto-Wirkung für Mensch, Planet und Demokratie.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6F1E8"/>
            <w:tcBorders>
              <w:top w:val="single" w:sz="6" w:color="C8933C"/>
              <w:left w:val="single" w:sz="6" w:color="C8933C"/>
              <w:bottom w:val="single" w:sz="6" w:color="C8933C"/>
              <w:right w:val="single" w:sz="6" w:color="C8933C"/>
            </w:tcBorders>
          </w:tcPr>
          <w:p>
            <w:pPr>
              <w:spacing w:after="80"/>
            </w:pPr>
            <w:r>
              <w:rPr>
                <w:rFonts w:ascii="Source Sans 3" w:hAnsi="Source Sans 3"/>
                <w:b/>
                <w:color w:val="081326"/>
                <w:sz w:val="21"/>
              </w:rPr>
              <w:t>Dossier-Funktion</w:t>
            </w:r>
          </w:p>
          <w:p>
            <w:r>
              <w:rPr>
                <w:rFonts w:ascii="Source Sans 3" w:hAnsi="Source Sans 3"/>
                <w:color w:val="252A2C"/>
                <w:sz w:val="19"/>
              </w:rPr>
              <w:t>Dieses Dossier übersetzt das Konzept in praktische Bausteine: Beispielprojekte, Datenlogik, Berechnungsskizzen, Tool-Module, Umsetzungsrollen und politische Optionen. Es ist keine Rechts-, Schulaufsichts- oder Einzelfallberatung.</w:t>
            </w:r>
          </w:p>
        </w:tc>
      </w:tr>
    </w:tbl>
    <w:p/>
    <w:p>
      <w:pPr>
        <w:pStyle w:val="Heading1"/>
      </w:pPr>
      <w:r>
        <w:t>1. Worum dieses Dossier geht</w:t>
      </w:r>
    </w:p>
    <w:p>
      <w:r>
        <w:t>Das Bildungsportal der Wirkungsökonomie braucht eine praktische Ebene: Wie wird aus Wirkungskompetenz Unterricht? Wie wird aus Förderung ein Bildungswirkungsbudget? Wie wird aus Schule als Wirkungsraum ein Schulentwicklungsplan? Dieses Dossier liefert die operativen Bausteine.</w:t>
      </w:r>
    </w:p>
    <w:p>
      <w:pPr>
        <w:pStyle w:val="Heading1"/>
      </w:pPr>
      <w:r>
        <w:t>2. Beispiel 1: Projektmodul Fach Zukunft - Hitzeschule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Baustein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Ausgestaltung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Ausgangsfrage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Wie wirkt Hitze auf Lernen, Gesundheit, Stadt, Gebäude, soziale Ungleichheit und politische Planung?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Fächerbezug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Biologie, Geografie, Mathematik, Physik, Politik, Deutsch, Kunst, Informatik.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Daten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Temperaturmessung im Schulgebäude, Raumtemperatur, Pausenhofversiegelung, Trinkwasserzugang, Krankenstände, Schulwegdaten, kommunale Hitzeaktionspläne.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Wirkungskompetenz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Systemdenken, Dateninterpretation, Zielkonflikte, demokratische Empfehlung, Projektkommunikation.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Ergebnis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Schüler:innen erstellen ein Hitze-Wirkungsprofil der Schule und schlagen Maßnahmen vor.</w:t>
            </w:r>
          </w:p>
        </w:tc>
      </w:tr>
    </w:tbl>
    <w:p/>
    <w:p>
      <w:pPr>
        <w:pStyle w:val="Heading1"/>
      </w:pPr>
      <w:r>
        <w:t>3. Beispiel 2: Wirkungsportfolio statt nur Klassenarbeit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Dimension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Beschreibung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Fachleistung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Nachweis von Wissen und Fähigkeiten in Deutsch, Mathematik, Naturwissenschaften und Sprachen.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Projektleistung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Bearbeitung einer realen Wirkungsfrage mit Daten, Recherche, Reflexion und Präsentation.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Reflexion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Was habe ich verstanden? Welche Nebenwirkungen habe ich gesehen? Was würde ich anders machen?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Teamwirkung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Kooperation, Rollenklärung, Konfliktfähigkeit, Beitrag zur gemeinsamen Arbeit.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Feedback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Lehrkraft, Peers, Selbstbewertung und ggf. externe Projektpartner.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Schutz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Das Portfolio ist Lerninstrument, kein öffentliches Ranking und kein Persönlichkeits-Score.</w:t>
            </w:r>
          </w:p>
        </w:tc>
      </w:tr>
    </w:tbl>
    <w:p/>
    <w:p>
      <w:pPr>
        <w:pStyle w:val="Heading1"/>
      </w:pPr>
      <w:r>
        <w:t>4. Beispiel 3: Bildungswirkungsbudget</w:t>
      </w:r>
    </w:p>
    <w:p>
      <w:r>
        <w:t>Das Bildungswirkungsbudget ist ein modellhafter Förderansatz. Es ersetzt keine bestehenden Förderansprüche, sondern zeigt, wie präventive, potenzialorientierte und würdige Förderung organisiert werden könnte.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Baustein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Modelllogik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Grundbudget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Jedes Kind erhält Zugang zu einem Basiskontingent für Lernbegleitung, Projektangebote, kulturelle Teilhabe und digitale Kompetenz.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Bedarfsaufschlag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Zusätzliche Förderung bei Lernrückstand, Sprachwechsel, Krankheit, Armut, Schulwechsel, Diskriminierung, Mobbing oder besonderen Belastungen.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Potenzialaufschlag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Förderung auch bei Begabung, besonderem Interesse, Projektinitiative, künstlerischem oder technischem Potenzial.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Schutz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Keine Beschämung, keine Defizitmarkierung, keine Veröffentlichung individueller Förderprofile.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Datenquellen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Schulische Beobachtung, Förderplan, Eltern- und Schüler:innengespräch, ggf. Diagnostik, Lernstandsdaten, Sozialraumdaten.</w:t>
            </w:r>
          </w:p>
        </w:tc>
      </w:tr>
    </w:tbl>
    <w:p/>
    <w:p>
      <w:pPr>
        <w:pStyle w:val="Heading1"/>
      </w:pPr>
      <w:r>
        <w:t>5. Beispielrechnung: Förderlogik als Arbeitsannahme v0.1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Element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Berechnungsskizze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Grundbudget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200 EUR pro Schuljahr als frei wählbares Förder- oder Teilhabekontingent.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Bedarfsaufschlag A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+300 EUR bei erkennbarer Gefährdung zentraler Basiskompetenzen.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Bedarfsaufschlag B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+500 EUR bei kumulierten Barrieren, z. B. Armut, Sprachwechsel, Krankheit oder Schulangst.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Potenzialaufschlag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+250 EUR für projektbezogene Begabungsförderung, Wettbewerbe, Forschung, Kultur oder Mentoring.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Hinweis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Beträge sind Modellwerte für eine Demo. Reale Höhe müsste politisch, haushalterisch und föderal ausgestaltet werden.</w:t>
            </w:r>
          </w:p>
        </w:tc>
      </w:tr>
    </w:tbl>
    <w:p/>
    <w:p>
      <w:pPr>
        <w:pStyle w:val="Heading1"/>
      </w:pPr>
      <w:r>
        <w:t>6. Datenquellen und Vertrauensstufen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Datenquelle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Einsatz und Grenzen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Amtliche Daten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Bildungsbericht, Destatis, Länderstatistiken, Sozialraummonitoring, Schulstatistik - hohe Datenqualität, aber oft zeitverzögert.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Kompetenzdaten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IQB, PISA, IGLU, Lernstandserhebungen - hilfreich für Systemdiagnose, nicht für Kinder-Ranking.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Schuldaten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Anwesenheit, Übergänge, Förderpläne, Schulklima, Räume, Schulsozialarbeit - datenschutzsensibel.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Portfolio-Daten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Lernwege, Projekte, Reflexionen, Teamarbeit - qualitativ wichtig, aber nicht für harte Steuerklassen geeignet.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WÖk-IDs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Indikatorfamilien zu Bildung, digitalen Kompetenzen, psychosozialen Risiken, Lernorten und Demokratiekompetenz.</w:t>
            </w:r>
          </w:p>
        </w:tc>
      </w:tr>
    </w:tbl>
    <w:p/>
    <w:p>
      <w:pPr>
        <w:pStyle w:val="Heading1"/>
      </w:pPr>
      <w:r>
        <w:t>7. Werkzeuge und Rechner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Wirkungsschule-Check: Reifegradanalyse einer Schule entlang 12 Dimensionen.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Wirkungsportfolio-Generator: Vorlage für Kompetenzprofile, Projektreflexion und Feedback.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Fach-Zukunft-Modulgenerator: Vorschläge für fächerverbindende Module aus Thema, Jahrgang, SDG/SDG+ und lokalem Kontext.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Wirkungsförderungs-Check: Modellhafte Förderbedarf- und Potenzialstruktur ohne Stigmatisierung.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Schulraum-Wirkungscheck: Räume, Klima, Lärm, Licht, Sicherheit, Bewegung, Ernährung, Barrierefreiheit.</w:t>
      </w:r>
    </w:p>
    <w:p>
      <w:pPr>
        <w:pStyle w:val="Heading1"/>
      </w:pPr>
      <w:r>
        <w:t>8. Politische Anschlussfähigkeit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Ebene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Aufgabe für Politik und Umsetzung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Aufgabe der Politik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Bildung als Wirkungsinfrastruktur ermöglichen: Basiskompetenzen sichern, Wirkungskompetenz aufbauen, Teilhabe stärken und Schulentwicklung systematisch unterstützen.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Politische Rahmenbedingungen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Lehrpläne, Bildungsstandards, Bewertungsrecht, Ganztag, Startchancen, Lehrkräftebildung, digitale Infrastruktur, Datenschutz, Schulsozialarbeit und Förderlogiken müssen wirkungsorientiert anschlussfähig werden.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Ausgestaltungsspielraum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Parteien können unterschiedlich gewichten: Noten oder Portfolios, Schulautonomie oder Standards, Ganztag oder Wahlfreiheit, staatliche Förderung oder Trägerpluralität, Pilotierung oder flächendeckende Einführung.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Zielkonflikte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Vergleichbarkeit vs. Individualisierung, Datenschutz vs. Lernunterstützung, Leistungsprinzip vs. Inklusion, Entlastung vs. neue Aufgaben, Freiheit der Schulen vs. Mindeststandards.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Rollenverteilung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Länder, Kommunen, Bund, Schulen, Lehrkräfte, Eltern, Schüler:innen, Wissenschaft, Kultur, Wirtschaft und Zivilgesellschaft tragen unterschiedliche Verantwortung.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Übergang und Schutz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Modellschulen, Pilotregionen, Lehrkräfteentlastung, Schutz vor Kinder-Scoring, klare Datenregeln, Fortbildung und finanzierte Übergänge sind notwendig.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Evaluation und Korrektur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Bildungswirkungsberichte, Schulklima, Lernentwicklung, Teilhabe, Übergänge, Demokratiekompetenz und Wirkungskompetenz müssen überprüft werden, ohne Kinder zu bewerten.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Parteipolitische Anschlussfähigkeit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Konservative, liberale, sozialdemokratische, grüne, linke, kommunale und freie Schulträger-Perspektiven können innerhalb des Rahmens unterschiedliche Ausgestaltungen wählen.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Schutz vor Technokratie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Wirkungsdaten bereiten Entscheidungen vor, ersetzen sie aber nicht. Normative Entscheidungen bleiben demokratisch legitimiert.</w:t>
            </w:r>
          </w:p>
        </w:tc>
      </w:tr>
    </w:tbl>
    <w:p/>
    <w:p>
      <w:pPr>
        <w:pStyle w:val="Heading1"/>
      </w:pPr>
      <w:r>
        <w:t>9. Risiken und Schutzmechanismen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Kein Kinder-Scoring: Das Kind wird nicht bewertet, das System wird verbessert.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Keine Datenüberwachung: Lernanalytik nur mit klarer Zweckbindung, Datenschutz und Transparenz.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Keine Bürokratieexplosion: Portfolios dürfen nicht zur Dokumentationslast werden.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Keine Noten-Abschaffung ohne Übergang: Vergleichbarkeit, Abschlüsse und Übergänge müssen gesichert bleiben.</w:t>
      </w:r>
    </w:p>
    <w:p>
      <w:pPr>
        <w:pStyle w:val="ListBullet"/>
        <w:spacing w:after="40"/>
      </w:pPr>
      <w:r>
        <w:rPr>
          <w:rFonts w:ascii="Source Sans 3" w:hAnsi="Source Sans 3"/>
          <w:color w:val="252A2C"/>
          <w:sz w:val="19"/>
        </w:rPr>
        <w:t>Keine moralische Belehrung: Fach Zukunft muss forschend, politisch plural, faktenbasiert und widerspruchsfähig sein.</w:t>
      </w:r>
    </w:p>
    <w:p>
      <w:pPr>
        <w:pStyle w:val="Heading1"/>
      </w:pPr>
      <w:r>
        <w:t>10. Akteursperspektiven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Akteur</w:t>
            </w:r>
          </w:p>
        </w:tc>
        <w:tc>
          <w:tcPr>
            <w:tcW w:type="dxa" w:w="4997"/>
            <w:shd w:fill="F1E9DA"/>
            <w:tcBorders>
              <w:top w:val="single" w:sz="2" w:color="D7D3C"/>
              <w:bottom w:val="single" w:sz="2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081326"/>
                <w:sz w:val="17"/>
              </w:rPr>
              <w:t>Wirkungsökonomische Relevanz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Schüler:innen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erhalten Lernräume, Feedback, Beteiligung, Unterstützung und die Erfahrung von Selbstwirksamkeit.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Eltern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erhalten transparente Lernwege, Förderzugänge, Schutz vor Beschämung und Beteiligung.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Lehrkräfte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erhalten Entlastung, Fortbildung, Teamstrukturen, bessere Diagnostik und pädagogische Freiheit mit klaren Zielen.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Schulleitung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erhält ein Reifegradmodell, Daten zur Schulentwicklung und Spielraum für Profilbildung.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Kommunen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verbinden Schule mit Gesundheit, Kultur, Bibliotheken, Jugendhilfe, Klimaresilienz und Quartiersentwicklung.</w:t>
            </w:r>
          </w:p>
        </w:tc>
      </w:tr>
      <w:tr>
        <w:tc>
          <w:tcPr>
            <w:tcW w:type="dxa" w:w="4997"/>
            <w:shd w:fill="FBF8F1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/>
                <w:color w:val="252A2C"/>
                <w:sz w:val="16"/>
              </w:rPr>
              <w:t>Politik</w:t>
            </w:r>
          </w:p>
        </w:tc>
        <w:tc>
          <w:tcPr>
            <w:tcW w:type="dxa" w:w="4997"/>
            <w:shd w:fill="FFFFFF"/>
            <w:tcBorders>
              <w:bottom w:val="single" w:sz="1" w:color="D7D3C"/>
            </w:tcBorders>
          </w:tcPr>
          <w:p>
            <w:pPr>
              <w:spacing w:after="0"/>
            </w:pPr>
            <w:r/>
            <w:r>
              <w:rPr>
                <w:rFonts w:ascii="Source Sans 3" w:hAnsi="Source Sans 3"/>
                <w:b w:val="0"/>
                <w:color w:val="252A2C"/>
                <w:sz w:val="16"/>
              </w:rPr>
              <w:t>schafft Rahmen, Finanzierung, Datenschutz, Pilotierung, Lehrkräftebildung und Evaluation.</w:t>
            </w:r>
          </w:p>
        </w:tc>
      </w:tr>
    </w:tbl>
    <w:p/>
    <w:p>
      <w:pPr>
        <w:pStyle w:val="Heading1"/>
      </w:pPr>
      <w:r>
        <w:t>Quellen und Referenzen</w:t>
      </w:r>
    </w:p>
    <w:p>
      <w:r>
        <w:rPr>
          <w:rFonts w:ascii="Source Sans 3" w:hAnsi="Source Sans 3"/>
          <w:b/>
          <w:color w:val="081326"/>
        </w:rPr>
        <w:t xml:space="preserve">Bildung in Deutschland 2024: </w:t>
      </w:r>
      <w:hyperlink ns2:id="rId10">
        <w:r>
          <w:rPr>
            <w:color w:val="2D7D5C"/>
            <w:u w:val="single"/>
          </w:rPr>
          <w:t>https://www.bildungsbericht.de/de/bildungsberichte-seit-2006/bildungsbericht-2024</w:t>
        </w:r>
      </w:hyperlink>
      <w:r>
        <w:t xml:space="preserve"> - Nationaler Bildungsbericht als Daten- und Problemrahmen.</w:t>
      </w:r>
    </w:p>
    <w:p>
      <w:r>
        <w:rPr>
          <w:rFonts w:ascii="Source Sans 3" w:hAnsi="Source Sans 3"/>
          <w:b/>
          <w:color w:val="081326"/>
        </w:rPr>
        <w:t xml:space="preserve">Destatis: Bildung in Deutschland 2024: </w:t>
      </w:r>
      <w:hyperlink ns2:id="rId11">
        <w:r>
          <w:rPr>
            <w:color w:val="2D7D5C"/>
            <w:u w:val="single"/>
          </w:rPr>
          <w:t>https://www.destatis.de/DE/Themen/Gesellschaft-Umwelt/Bildung-Forschung-Kultur/Bildungsstand/Publikationen/Downloads-Bildungsstand/bildung-deutschland-hauptbericht-5210001.html</w:t>
        </w:r>
      </w:hyperlink>
      <w:r>
        <w:t xml:space="preserve"> - Offizielle Publikationsseite des Bildungsberichts.</w:t>
      </w:r>
    </w:p>
    <w:p>
      <w:r>
        <w:rPr>
          <w:rFonts w:ascii="Source Sans 3" w:hAnsi="Source Sans 3"/>
          <w:b/>
          <w:color w:val="081326"/>
        </w:rPr>
        <w:t xml:space="preserve">IQB-Bildungstrend 2024: </w:t>
      </w:r>
      <w:hyperlink ns2:id="rId12">
        <w:r>
          <w:rPr>
            <w:color w:val="2D7D5C"/>
            <w:u w:val="single"/>
          </w:rPr>
          <w:t>https://www.iqb.hu-berlin.de/de/schule/sekundarstufe-i/bildungstrend/2024/</w:t>
        </w:r>
      </w:hyperlink>
      <w:r>
        <w:t xml:space="preserve"> - Kompetenzstände in Mathematik und Naturwissenschaften in der Sekundarstufe I.</w:t>
      </w:r>
    </w:p>
    <w:p>
      <w:r>
        <w:rPr>
          <w:rFonts w:ascii="Source Sans 3" w:hAnsi="Source Sans 3"/>
          <w:b/>
          <w:color w:val="081326"/>
        </w:rPr>
        <w:t xml:space="preserve">OECD: PISA 2022 Germany Country Note: </w:t>
      </w:r>
      <w:hyperlink ns2:id="rId13">
        <w:r>
          <w:rPr>
            <w:color w:val="2D7D5C"/>
            <w:u w:val="single"/>
          </w:rPr>
          <w:t>https://www.oecd.org/en/publications/pisa-2022-results-volume-i-and-ii-country-notes_ed6fbcc5-en/germany_1a2cf137-en.html</w:t>
        </w:r>
      </w:hyperlink>
      <w:r>
        <w:t xml:space="preserve"> - Internationaler Vergleich und soziale Disparitäten.</w:t>
      </w:r>
    </w:p>
    <w:p>
      <w:r>
        <w:rPr>
          <w:rFonts w:ascii="Source Sans 3" w:hAnsi="Source Sans 3"/>
          <w:b/>
          <w:color w:val="081326"/>
        </w:rPr>
        <w:t xml:space="preserve">KMK: Bildung in der digitalen Welt: </w:t>
      </w:r>
      <w:hyperlink ns2:id="rId14">
        <w:r>
          <w:rPr>
            <w:color w:val="2D7D5C"/>
            <w:u w:val="single"/>
          </w:rPr>
          <w:t>https://www.kmk.org/bildungsministerkonferenz/bildungsthemen/bildung-in-der-digitalen-welt.html</w:t>
        </w:r>
      </w:hyperlink>
      <w:r>
        <w:t xml:space="preserve"> - Strategie und Weiterentwicklung für digitale Bildung.</w:t>
      </w:r>
    </w:p>
    <w:p>
      <w:r>
        <w:rPr>
          <w:rFonts w:ascii="Source Sans 3" w:hAnsi="Source Sans 3"/>
          <w:b/>
          <w:color w:val="081326"/>
        </w:rPr>
        <w:t xml:space="preserve">KMK: Demokratiebildung: </w:t>
      </w:r>
      <w:hyperlink ns2:id="rId15">
        <w:r>
          <w:rPr>
            <w:color w:val="2D7D5C"/>
            <w:u w:val="single"/>
          </w:rPr>
          <w:t>https://www.kmk.org/bildungsministerkonferenz/bildungsthemen/demokratiebildung.html</w:t>
        </w:r>
      </w:hyperlink>
      <w:r>
        <w:t xml:space="preserve"> - Demokratiebildung als wesentlicher Bildungsauftrag.</w:t>
      </w:r>
    </w:p>
    <w:p>
      <w:r>
        <w:rPr>
          <w:rFonts w:ascii="Source Sans 3" w:hAnsi="Source Sans 3"/>
          <w:b/>
          <w:color w:val="081326"/>
        </w:rPr>
        <w:t xml:space="preserve">KMK: Bildung für nachhaltige Entwicklung: </w:t>
      </w:r>
      <w:hyperlink ns2:id="rId16">
        <w:r>
          <w:rPr>
            <w:color w:val="2D7D5C"/>
            <w:u w:val="single"/>
          </w:rPr>
          <w:t>https://www.kmk.org/bildungsministerkonferenz/vertiefende-bildungsinhalte/allgemeinbildende-schulen/bildung-fuer-nachhaltige-entwicklung.html</w:t>
        </w:r>
      </w:hyperlink>
      <w:r>
        <w:t xml:space="preserve"> - BNE-Empfehlung 2024 und Anschluss an SDG 4.7.</w:t>
      </w:r>
    </w:p>
    <w:p>
      <w:r>
        <w:rPr>
          <w:rFonts w:ascii="Source Sans 3" w:hAnsi="Source Sans 3"/>
          <w:b/>
          <w:color w:val="081326"/>
        </w:rPr>
        <w:t xml:space="preserve">BMBFSFJ/BMBF: Startchancen-Programm: </w:t>
      </w:r>
      <w:hyperlink ns2:id="rId17">
        <w:r>
          <w:rPr>
            <w:color w:val="2D7D5C"/>
            <w:u w:val="single"/>
          </w:rPr>
          <w:t>https://www.bmbfsfj.bund.de/bmbfsfj/themen/bildung/schule/startchancen-programm-274440</w:t>
        </w:r>
      </w:hyperlink>
      <w:r>
        <w:t xml:space="preserve"> - Bund-Länder-Programm für Schulen in herausfordernden sozialen Lagen.</w:t>
      </w:r>
    </w:p>
    <w:p>
      <w:r>
        <w:rPr>
          <w:rFonts w:ascii="Source Sans 3" w:hAnsi="Source Sans 3"/>
          <w:b/>
          <w:color w:val="081326"/>
        </w:rPr>
        <w:t xml:space="preserve">UNESCO: Reimagining our futures together: </w:t>
      </w:r>
      <w:hyperlink ns2:id="rId18">
        <w:r>
          <w:rPr>
            <w:color w:val="2D7D5C"/>
            <w:u w:val="single"/>
          </w:rPr>
          <w:t>https://www.unesco.org/en/articles/reimagining-our-futures-together-new-social-contract-education</w:t>
        </w:r>
      </w:hyperlink>
      <w:r>
        <w:t xml:space="preserve"> - Bildung als gemeinsamer Zukunftsvertrag.</w:t>
      </w:r>
    </w:p>
    <w:p>
      <w:r>
        <w:rPr>
          <w:rFonts w:ascii="Source Sans 3" w:hAnsi="Source Sans 3"/>
          <w:b/>
          <w:color w:val="081326"/>
        </w:rPr>
        <w:t xml:space="preserve">OECD Learning Compass 2030: </w:t>
      </w:r>
      <w:hyperlink ns2:id="rId19">
        <w:r>
          <w:rPr>
            <w:color w:val="2D7D5C"/>
            <w:u w:val="single"/>
          </w:rPr>
          <w:t>https://www.oecd.org/education/2030-project/</w:t>
        </w:r>
      </w:hyperlink>
      <w:r>
        <w:t xml:space="preserve"> - Zukunftskompetenzen, student agency und transformative competencies.</w:t>
      </w:r>
    </w:p>
    <w:sectPr w:rsidR="00FC693F" w:rsidRPr="0006063C" w:rsidSect="00034616">
      <w:footerReference w:type="default" ns2:id="rId9"/>
      <w:pgSz w:w="12240" w:h="15840"/>
      <w:pgMar w:top="1008" w:right="1123" w:bottom="1008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Source Sans 3" w:hAnsi="Source Sans 3"/>
        <w:color w:val="6B6F73"/>
        <w:sz w:val="16"/>
      </w:rPr>
      <w:t xml:space="preserve">Natalie Weber · Wirkungsökonomie ·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ans 3" w:hAnsi="Source Sans 3"/>
      <w:color w:val="252A2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erriweather" w:hAnsi="Merriweather"/>
      <w:b/>
      <w:bCs/>
      <w:color w:val="081326"/>
      <w:sz w:val="3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erriweather" w:hAnsi="Merriweather"/>
      <w:b/>
      <w:bCs/>
      <w:color w:val="2D7D5C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Source Sans 3" w:hAnsi="Source Sans 3"/>
      <w:b/>
      <w:bCs/>
      <w:color w:val="08132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erriweather" w:hAnsi="Merriweather"/>
      <w:b/>
      <w:color w:val="081326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Source Sans 3" w:hAnsi="Source Sans 3"/>
      <w:i/>
      <w:iCs/>
      <w:color w:val="2D7D5C"/>
      <w:spacing w:val="15"/>
      <w:sz w:val="2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Source Sans 3" w:hAnsi="Source Sans 3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www.bildungsbericht.de/de/bildungsberichte-seit-2006/bildungsbericht-2024" TargetMode="External"/><Relationship Id="rId11" Type="http://schemas.openxmlformats.org/officeDocument/2006/relationships/hyperlink" Target="https://www.destatis.de/DE/Themen/Gesellschaft-Umwelt/Bildung-Forschung-Kultur/Bildungsstand/Publikationen/Downloads-Bildungsstand/bildung-deutschland-hauptbericht-5210001.html" TargetMode="External"/><Relationship Id="rId12" Type="http://schemas.openxmlformats.org/officeDocument/2006/relationships/hyperlink" Target="https://www.iqb.hu-berlin.de/de/schule/sekundarstufe-i/bildungstrend/2024/" TargetMode="External"/><Relationship Id="rId13" Type="http://schemas.openxmlformats.org/officeDocument/2006/relationships/hyperlink" Target="https://www.oecd.org/en/publications/pisa-2022-results-volume-i-and-ii-country-notes_ed6fbcc5-en/germany_1a2cf137-en.html" TargetMode="External"/><Relationship Id="rId14" Type="http://schemas.openxmlformats.org/officeDocument/2006/relationships/hyperlink" Target="https://www.kmk.org/bildungsministerkonferenz/bildungsthemen/bildung-in-der-digitalen-welt.html" TargetMode="External"/><Relationship Id="rId15" Type="http://schemas.openxmlformats.org/officeDocument/2006/relationships/hyperlink" Target="https://www.kmk.org/bildungsministerkonferenz/bildungsthemen/demokratiebildung.html" TargetMode="External"/><Relationship Id="rId16" Type="http://schemas.openxmlformats.org/officeDocument/2006/relationships/hyperlink" Target="https://www.kmk.org/bildungsministerkonferenz/vertiefende-bildungsinhalte/allgemeinbildende-schulen/bildung-fuer-nachhaltige-entwicklung.html" TargetMode="External"/><Relationship Id="rId17" Type="http://schemas.openxmlformats.org/officeDocument/2006/relationships/hyperlink" Target="https://www.bmbfsfj.bund.de/bmbfsfj/themen/bildung/schule/startchancen-programm-274440" TargetMode="External"/><Relationship Id="rId18" Type="http://schemas.openxmlformats.org/officeDocument/2006/relationships/hyperlink" Target="https://www.unesco.org/en/articles/reimagining-our-futures-together-new-social-contract-education" TargetMode="External"/><Relationship Id="rId19" Type="http://schemas.openxmlformats.org/officeDocument/2006/relationships/hyperlink" Target="https://www.oecd.org/education/2030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