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Finanzierung, Förderlogik und Wirkungsfonds</w:t>
      </w:r>
    </w:p>
    <w:p>
      <w:pPr>
        <w:jc w:val="center"/>
      </w:pPr>
      <w:r>
        <w:rPr>
          <w:rFonts w:ascii="Arial" w:hAnsi="Arial"/>
          <w:color w:val="252D3C"/>
          <w:sz w:val="23"/>
        </w:rPr>
        <w:t>Öffentliche Mittel und Kapitalströme nach Wohnwirkung steuern.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Finanzierung, Förderlogik und Wirkungsfonds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Finanzierung, Förderlogik und Wirkungsfonds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Öffentliche Mittel und Kapitalströme nach Wohnwirkung steuern.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/wirkungsfelder/wohnen-stadt/detailkonzepte/finanzierung_foerderlogik_wirkungsfonds/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/wirkungsfelder/wohnen-stadt/dossiers/finanzierung_foerderlogik_wirkungsfonds/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