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rPr>
          <w:rFonts w:ascii="Playfair Display" w:hAnsi="Playfair Display"/>
          <w:b/>
          <w:color w:val="09102A"/>
          <w:sz w:val="30"/>
        </w:rPr>
        <w:t>WIRKUNGSÖKONOMIE</w:t>
      </w:r>
    </w:p>
    <w:p>
      <w:pPr>
        <w:jc w:val="left"/>
      </w:pPr>
      <w:r>
        <w:rPr>
          <w:rFonts w:ascii="Source Sans 3" w:hAnsi="Source Sans 3"/>
          <w:b/>
          <w:color w:val="C8983C"/>
          <w:sz w:val="18"/>
        </w:rPr>
        <w:t>Wirkung statt Kapital. Für Mensch, Planet und Demokratie.</w:t>
      </w:r>
    </w:p>
    <w:p/>
    <w:p>
      <w:pPr>
        <w:pStyle w:val="Title"/>
      </w:pPr>
      <w:r>
        <w:t>Detailkonzept: Übergang, Qualifizierung und Resilienz</w:t>
      </w:r>
    </w:p>
    <w:p>
      <w:r>
        <w:rPr>
          <w:rFonts w:ascii="Source Sans 3" w:hAnsi="Source Sans 3"/>
          <w:b/>
          <w:color w:val="2E7D5C"/>
          <w:sz w:val="28"/>
        </w:rPr>
        <w:t>Rang 6 Arbeit &amp; Einkommen / Automatisierung – Unterbereich Übergang, Qualifizierung und Resilienz</w:t>
      </w:r>
    </w:p>
    <w:p/>
    <w:tbl>
      <w:tblPr>
        <w:tblW w:type="auto" w:w="0"/>
        <w:jc w:val="left"/>
        <w:tblLook w:firstColumn="1" w:firstRow="1" w:lastColumn="0" w:lastRow="0" w:noHBand="0" w:noVBand="1" w:val="04A0"/>
      </w:tblPr>
      <w:tblGrid>
        <w:gridCol w:w="4929"/>
        <w:gridCol w:w="4929"/>
      </w:tblGrid>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Autorin</w:t>
            </w:r>
          </w:p>
        </w:tc>
        <w:tc>
          <w:tcPr>
            <w:tcW w:type="dxa" w:w="4929"/>
            <w:tcBorders>
              <w:top w:val="single" w:sz="4" w:space="0" w:color="D8D0C4"/>
              <w:left w:val="single" w:sz="4" w:space="0" w:color="D8D0C4"/>
              <w:bottom w:val="single" w:sz="4" w:space="0" w:color="D8D0C4"/>
              <w:right w:val="single" w:sz="4" w:space="0" w:color="D8D0C4"/>
            </w:tcBorders>
            <w:vAlign w:val="center"/>
          </w:tcPr>
          <w:p>
            <w:r>
              <w:t>Natalie Weber</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Referenz</w:t>
            </w:r>
          </w:p>
        </w:tc>
        <w:tc>
          <w:tcPr>
            <w:tcW w:type="dxa" w:w="4929"/>
            <w:tcBorders>
              <w:top w:val="single" w:sz="4" w:space="0" w:color="D8D0C4"/>
              <w:left w:val="single" w:sz="4" w:space="0" w:color="D8D0C4"/>
              <w:bottom w:val="single" w:sz="4" w:space="0" w:color="D8D0C4"/>
              <w:right w:val="single" w:sz="4" w:space="0" w:color="D8D0C4"/>
            </w:tcBorders>
            <w:vAlign w:val="center"/>
          </w:tcPr>
          <w:p>
            <w:r>
              <w:t>Wirkungsökonomie</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Version</w:t>
            </w:r>
          </w:p>
        </w:tc>
        <w:tc>
          <w:tcPr>
            <w:tcW w:type="dxa" w:w="4929"/>
            <w:tcBorders>
              <w:top w:val="single" w:sz="4" w:space="0" w:color="D8D0C4"/>
              <w:left w:val="single" w:sz="4" w:space="0" w:color="D8D0C4"/>
              <w:bottom w:val="single" w:sz="4" w:space="0" w:color="D8D0C4"/>
              <w:right w:val="single" w:sz="4" w:space="0" w:color="D8D0C4"/>
            </w:tcBorders>
            <w:vAlign w:val="center"/>
          </w:tcPr>
          <w:p>
            <w:r>
              <w:t>v0.1</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Stand</w:t>
            </w:r>
          </w:p>
        </w:tc>
        <w:tc>
          <w:tcPr>
            <w:tcW w:type="dxa" w:w="4929"/>
            <w:tcBorders>
              <w:top w:val="single" w:sz="4" w:space="0" w:color="D8D0C4"/>
              <w:left w:val="single" w:sz="4" w:space="0" w:color="D8D0C4"/>
              <w:bottom w:val="single" w:sz="4" w:space="0" w:color="D8D0C4"/>
              <w:right w:val="single" w:sz="4" w:space="0" w:color="D8D0C4"/>
            </w:tcBorders>
            <w:vAlign w:val="center"/>
          </w:tcPr>
          <w:p>
            <w:r>
              <w:t>24. Mai 2026</w:t>
            </w:r>
          </w:p>
        </w:tc>
      </w:tr>
      <w:tr>
        <w:tc>
          <w:tcPr>
            <w:tcW w:type="dxa" w:w="4929"/>
            <w:tcBorders>
              <w:top w:val="single" w:sz="4" w:space="0" w:color="D8D0C4"/>
              <w:left w:val="single" w:sz="4" w:space="0" w:color="D8D0C4"/>
              <w:bottom w:val="single" w:sz="4" w:space="0" w:color="D8D0C4"/>
              <w:right w:val="single" w:sz="4" w:space="0" w:color="D8D0C4"/>
            </w:tcBorders>
            <w:vAlign w:val="center"/>
            <w:shd w:fill="F6F1E8"/>
          </w:tcPr>
          <w:p>
            <w:r>
              <w:t>Status</w:t>
            </w:r>
          </w:p>
        </w:tc>
        <w:tc>
          <w:tcPr>
            <w:tcW w:type="dxa" w:w="4929"/>
            <w:tcBorders>
              <w:top w:val="single" w:sz="4" w:space="0" w:color="D8D0C4"/>
              <w:left w:val="single" w:sz="4" w:space="0" w:color="D8D0C4"/>
              <w:bottom w:val="single" w:sz="4" w:space="0" w:color="D8D0C4"/>
              <w:right w:val="single" w:sz="4" w:space="0" w:color="D8D0C4"/>
            </w:tcBorders>
            <w:vAlign w:val="center"/>
          </w:tcPr>
          <w:p>
            <w:r>
              <w:t>Arbeits- und Diskussionsfassung</w:t>
            </w:r>
          </w:p>
        </w:tc>
      </w:tr>
    </w:tbl>
    <w:p>
      <w:r>
        <w:t>Dieses Dokument ist eine öffentliche Arbeits- und Diskussionsfassung. Es enthält keine internen CodeX- oder Repository-Anweisungen. Technische Umsetzungshinweise werden separat geführt.</w:t>
      </w:r>
    </w:p>
    <w:p>
      <w:r>
        <w:br w:type="page"/>
      </w:r>
    </w:p>
    <w:p>
      <w:pPr>
        <w:pStyle w:val="Heading1"/>
      </w:pPr>
      <w:r>
        <w:t>Leitfrage</w:t>
      </w:r>
    </w:p>
    <w:p>
      <w:r>
        <w:t>Wie wird Transformation ermöglicht, ohne Menschen, Regionen oder KMU zu überfordern?</w:t>
      </w:r>
    </w:p>
    <w:p>
      <w:pPr>
        <w:pStyle w:val="Heading1"/>
      </w:pPr>
      <w:r>
        <w:t>Einordnung im Wirkungsfeld</w:t>
      </w:r>
    </w:p>
    <w:p>
      <w:r>
        <w:t>Dieses Detailkonzept ordnet den Unterbereich in die Gesamtarchitektur von Arbeit &amp; Einkommen / Automatisierung ein. Es beschreibt nicht nur einen politischen Vorschlag, sondern den notwendigen Wirkungsrahmen, innerhalb dessen unterschiedliche demokratische Ausgestaltungen möglich bleiben.</w:t>
      </w:r>
    </w:p>
    <w:p>
      <w:pPr>
        <w:pStyle w:val="Heading1"/>
      </w:pPr>
      <w:r>
        <w:t>Ausgangslage</w:t>
      </w:r>
    </w:p>
    <w:p>
      <w:r>
        <w:t>Die bisherige Wirtschafts- und Sozialordnung behandelt Erwerbsarbeit als zentrale Quelle von Einkommen, Würde, Sozialabgaben und gesellschaftlicher Anerkennung. Diese Logik wird durch Automatisierung, KI, Plattformarbeit, demografischen Wandel und neue Formen von Wertschöpfung strukturell herausgefordert. Der Unterbereich macht sichtbar, welche Wirkungen bislang unsichtbar bleiben und welche neuen Rückkopplungen erforderlich werden.</w:t>
      </w:r>
    </w:p>
    <w:p>
      <w:pPr>
        <w:pStyle w:val="Heading1"/>
      </w:pPr>
      <w:r>
        <w:t>Wirkungsökonomischer Perspektivwechsel</w:t>
      </w:r>
    </w:p>
    <w:p>
      <w:r>
        <w:t>Die Wirkungsökonomie misst nicht nur Tätigkeit, Einkommen oder Beschäftigung, sondern reale Zustandsveränderungen. Sie fragt, ob ein Arbeits-, Einkommens- oder Automatisierungsmodell Mensch, Planet und Demokratie stärkt oder schwächt. Wirkung bleibt neutral; positiv wird sie erst durch Einordnung am Referenzrahmen von SDGs, Agenda 2030 und SDG+.</w:t>
      </w:r>
    </w:p>
    <w:p>
      <w:pPr>
        <w:pStyle w:val="Heading1"/>
      </w:pPr>
      <w:r>
        <w:t>1. Frühwarnsystem für Tätigkeitswandel</w:t>
      </w:r>
    </w:p>
    <w:p>
      <w:r>
        <w:t>Frühwarnsystem für Tätigkeitswandel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2. Qualifizierung als Wirkungsinvestition</w:t>
      </w:r>
    </w:p>
    <w:p>
      <w:r>
        <w:t>Qualifizierung als Wirkungsinvestition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3. Regionale Übergangsfonds</w:t>
      </w:r>
    </w:p>
    <w:p>
      <w:r>
        <w:t>Regionale Übergangsfonds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4. Arbeitszeit, Lebenszeit und Selbstwirksamkeit</w:t>
      </w:r>
    </w:p>
    <w:p>
      <w:r>
        <w:t>Arbeitszeit, Lebenszeit und Selbstwirksamkeit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5. Evaluation und demokratische Korrektur</w:t>
      </w:r>
    </w:p>
    <w:p>
      <w:r>
        <w:t>Evaluation und demokratische Korrektur wird in diesem Unterbereich als eigenständiger Wirkungshebel verstanden. Entscheidend ist, welche Zustände verändert werden: Einkommen, Sicherheit, Selbstwirksamkeit, Beschäftigungsqualität, Datenmacht, demokratisches Vertrauen, Finanzierung öffentlicher Systeme und die Fähigkeit einer Gesellschaft, produktiver zu werden, ohne Menschen abzuwerten.</w:t>
      </w:r>
    </w:p>
    <w:p>
      <w:r>
        <w:t>Die alte Logik fokussiert häufig auf Inputs: Arbeitsstunden, Lohnsumme, Beschäftigungsquote, Kapitalrendite oder Steueraufkommen. Die wirkungsökonomische Logik ergänzt diese Daten um Richtung und Rückkopplung: Welche Leistung erzeugt reale Wirkung? Welche Externalitäten entstehen? Welche Systemkosten werden vermieden? Welche Folgekosten werden nur verschoben?</w:t>
      </w:r>
    </w:p>
    <w:p>
      <w:r>
        <w:t>Für die praktische Umsetzung braucht es eine Kombination aus qualitativer Einordnung, standardisierten WÖk-IDs, Scorecards, Datenqualitätsstufen, demokratischer Kontrolle und politischem Ausgestaltungsspielraum. Dabei darf das System niemals zu einer Bewertung einzelner Menschen als Personen werden; bewertet werden Tätigkeitskontexte, Organisationen, Projekte, Produkte und systemische Wirkungen.</w:t>
      </w:r>
    </w:p>
    <w:p>
      <w:pPr>
        <w:pStyle w:val="Heading1"/>
      </w:pPr>
      <w:r>
        <w:t>Schnittstellen</w:t>
      </w:r>
    </w:p>
    <w:p>
      <w:pPr>
        <w:ind w:left="227" w:hanging="142"/>
      </w:pPr>
      <w:r>
        <w:rPr>
          <w:rFonts w:ascii="Source Sans 3" w:hAnsi="Source Sans 3"/>
          <w:color w:val="2E2A2C"/>
          <w:sz w:val="20"/>
        </w:rPr>
        <w:t>• Rang 2 Impact Controlling: WÖk-IDs, Scorecards, NWI und T-SROI liefern Mess- und Bewertungslogik.</w:t>
      </w:r>
    </w:p>
    <w:p>
      <w:pPr>
        <w:ind w:left="227" w:hanging="142"/>
      </w:pPr>
      <w:r>
        <w:rPr>
          <w:rFonts w:ascii="Source Sans 3" w:hAnsi="Source Sans 3"/>
          <w:color w:val="2E2A2C"/>
          <w:sz w:val="20"/>
        </w:rPr>
        <w:t>• Rang 3 Staat, Recht &amp; Demokratie: WStG, WEstG, Wirkungshaushalt und Wirkungsrat sichern Rechtsstaatlichkeit und Korrektur.</w:t>
      </w:r>
    </w:p>
    <w:p>
      <w:pPr>
        <w:ind w:left="227" w:hanging="142"/>
      </w:pPr>
      <w:r>
        <w:rPr>
          <w:rFonts w:ascii="Source Sans 3" w:hAnsi="Source Sans 3"/>
          <w:color w:val="2E2A2C"/>
          <w:sz w:val="20"/>
        </w:rPr>
        <w:t>• Rang 4 Wirtschaft &amp; Unternehmen: Unternehmen nutzen die Logik für Führung, Personal, Automatisierung, Lieferketten und Risiken.</w:t>
      </w:r>
    </w:p>
    <w:p>
      <w:pPr>
        <w:ind w:left="227" w:hanging="142"/>
      </w:pPr>
      <w:r>
        <w:rPr>
          <w:rFonts w:ascii="Source Sans 3" w:hAnsi="Source Sans 3"/>
          <w:color w:val="2E2A2C"/>
          <w:sz w:val="20"/>
        </w:rPr>
        <w:t>• Rang 7 Rente: Wirkungsbiografien ergänzen Beitragsbiografien.</w:t>
      </w:r>
    </w:p>
    <w:p>
      <w:pPr>
        <w:ind w:left="227" w:hanging="142"/>
      </w:pPr>
      <w:r>
        <w:rPr>
          <w:rFonts w:ascii="Source Sans 3" w:hAnsi="Source Sans 3"/>
          <w:color w:val="2E2A2C"/>
          <w:sz w:val="20"/>
        </w:rPr>
        <w:t>• Rang 12 Finanzsystem &amp; Kapital: Wirkungsfonds und Kapitalwirkung finanzieren Übergänge und Rückkopplung.</w:t>
      </w:r>
    </w:p>
    <w:p>
      <w:pPr>
        <w:pStyle w:val="Heading1"/>
      </w:pPr>
      <w:r>
        <w:t>Politische Anschlussfähigkeit und Umsetzungsoptionen</w:t>
      </w:r>
    </w:p>
    <w:p>
      <w:r>
        <w:t>Die folgenden politischen Anforderungen beschreiben keinen fertigen Parteibeschluss. Sie markieren den Rahmen, damit dieses Wirkungsfeld demokratisch, rechtsstaatlich und praktisch umgesetzt werden kann. Unterschiedliche Parteien können innerhalb dieses Rahmens verschiedene Wege wählen. Entscheidend ist, dass Wirkung sichtbar, überprüfbar, korrigierbar und grundrechtskonform bleibt.</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Aufgabe für Politik und Umsetzung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Aufgabe der Politik</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Für Übergang, Qualifizierung und Resilienz braucht es einen Rahmen, der Sicherheit, Teilhabe und Innovationsfähigkeit schützt, ohne eine einzige politische Ausgestaltung vorzuschreiben.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Politische Rahmenbedingungen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WÖk-IDs, Sozialfinanzierung, Arbeitsrecht, Steuerrecht, Datenschutz, KI-Regeln, Qualifizierung und Fondslogik müssen rechtssicher zusammenführbar sein.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Ausgestaltungsspielraum</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Parteien können unterschiedlich gewichten: Grunddividende, Steuerentlastung, Fondsmodell, Tarifpolitik, Arbeitnehmerrechte, Unternehmensfreiheit, Weiterbildung, regionale Pilotierung.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Zielkonflikte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Innovation vs. Beschäftigungssicherung, Freiheit vs. Absicherung, Datenschutz vs. Wirkungsnachweis, Bürokratiearmut vs. Prüfqualität, Unternehmenstragfähigkeit vs. Sozialfinanzierung.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Rollenverteilung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EU, Bund, Länder, Kommunen, Sozialversicherungsträger, Unternehmen, Gewerkschaften, Wissenschaft, Zivilgesellschaft und Bürger:innen tragen Daten, Standards, Beteiligung, Evaluation und Umsetzung gemeinsam.</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Übergang und Schutz</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Pilotregionen, Übergangsfristen, KMU-Schutz, Härtefallregeln, Mitbestimmung, Rechtsbehelfe und Schutz vor Personen-Scoring sichern demokratische Lernfähigkeit.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Evaluation und Korrektur</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Wirkungsberichte, Revisionszyklen, unabhängige Assurance, öffentliche Konsultation und parlamentarische Kontrolle verhindern technokratische Verfestigung.</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Parteipolitische Anschlussfähigkeit</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Konservative, liberale, sozialdemokratische, grüne, linke, kommunale und wirtschaftsnahe Perspektiven können unterschiedliche Umsetzungsoptionen wählen.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Schutz vor Technokratie</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Wirkungsdaten bereiten Entscheidungen vor, ersetzen sie aber nicht. Normative Entscheidungen bleiben demokratisch legitimiert.</w:t>
            </w:r>
          </w:p>
        </w:tc>
      </w:tr>
    </w:tbl>
    <w:p/>
    <w:p>
      <w:pPr>
        <w:pStyle w:val="Heading1"/>
      </w:pPr>
      <w:r>
        <w:t>SDG-/SDG+-Bezug</w:t>
      </w:r>
    </w:p>
    <w:tbl>
      <w:tblPr>
        <w:tblW w:type="auto" w:w="0"/>
        <w:jc w:val="center"/>
        <w:tblLook w:firstColumn="1" w:firstRow="1" w:lastColumn="0" w:lastRow="0" w:noHBand="0" w:noVBand="1" w:val="04A0"/>
      </w:tblPr>
      <w:tblGrid>
        <w:gridCol w:w="4929"/>
        <w:gridCol w:w="4929"/>
      </w:tblGrid>
      <w:tr>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Ebene</w:t>
            </w:r>
          </w:p>
        </w:tc>
        <w:tc>
          <w:tcPr>
            <w:tcW w:type="dxa" w:w="4929"/>
            <w:shd w:fill="F6F1E8"/>
            <w:tcBorders>
              <w:top w:val="single" w:sz="4" w:space="0" w:color="D8D0C4"/>
              <w:left w:val="single" w:sz="4" w:space="0" w:color="D8D0C4"/>
              <w:bottom w:val="single" w:sz="4" w:space="0" w:color="D8D0C4"/>
              <w:right w:val="single" w:sz="4" w:space="0" w:color="D8D0C4"/>
            </w:tcBorders>
          </w:tcPr>
          <w:p>
            <w:r>
              <w:rPr>
                <w:b/>
                <w:color w:val="09102A"/>
              </w:rPr>
              <w:t>Inhalt</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SDGs</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SDG 1, SDG 3, SDG 4, SDG 5, SDG 8, SDG 9, SDG 10, SDG 16, SDG 17</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Relevante SDG+-Dimensionen</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Demokratie, digitale Selbstbestimmung, gesellschaftlicher Zusammenhalt, institutionelles Vertrauen</w:t>
            </w:r>
          </w:p>
        </w:tc>
      </w:tr>
      <w:tr>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Wirkungsökonomische Einordnung</w:t>
            </w:r>
          </w:p>
        </w:tc>
        <w:tc>
          <w:tcPr>
            <w:tcW w:type="dxa" w:w="4929"/>
            <w:tcBorders>
              <w:top w:val="single" w:sz="4" w:space="0" w:color="D8D0C4"/>
              <w:left w:val="single" w:sz="4" w:space="0" w:color="D8D0C4"/>
              <w:bottom w:val="single" w:sz="4" w:space="0" w:color="D8D0C4"/>
              <w:right w:val="single" w:sz="4" w:space="0" w:color="D8D0C4"/>
            </w:tcBorders>
          </w:tcPr>
          <w:p>
            <w:r>
              <w:rPr>
                <w:rFonts w:ascii="Source Sans 3" w:hAnsi="Source Sans 3"/>
                <w:sz w:val="18"/>
              </w:rPr>
              <w:t>Arbeit und Einkommen berühren nicht nur SDG 8. Sie beeinflussen Armut, Gesundheit, Bildung, Gleichstellung, Ungleichheit, Innovation, Demokratie, Vertrauen, digitale Selbstbestimmung und gesellschaftlichen Zusammenhalt.</w:t>
            </w:r>
          </w:p>
        </w:tc>
      </w:tr>
    </w:tbl>
    <w:p/>
    <w:p>
      <w:r>
        <w:t>SDG+ ist keine offizielle UN-Kategorie, sondern eine transparente Erweiterung der Wirkungsökonomie für Demokratie, Medienqualität, Rechtsstaatlichkeit, Diskursfähigkeit, institutionelles Vertrauen, gesellschaftlichen Zusammenhalt und digitale Selbstbestimmung.</w:t>
      </w:r>
    </w:p>
    <w:p>
      <w:pPr>
        <w:pStyle w:val="Heading1"/>
      </w:pPr>
      <w:r>
        <w:t>Anker im Online-Buch</w:t>
      </w:r>
    </w:p>
    <w:p>
      <w:pPr>
        <w:ind w:left="227" w:hanging="142"/>
      </w:pPr>
      <w:r>
        <w:rPr>
          <w:rFonts w:ascii="Source Sans 3" w:hAnsi="Source Sans 3"/>
          <w:color w:val="2E2A2C"/>
          <w:sz w:val="20"/>
        </w:rPr>
        <w:t>• Kapitel 15 – Leistung neu definieren</w:t>
      </w:r>
    </w:p>
    <w:p>
      <w:pPr>
        <w:ind w:left="227" w:hanging="142"/>
      </w:pPr>
      <w:r>
        <w:rPr>
          <w:rFonts w:ascii="Source Sans 3" w:hAnsi="Source Sans 3"/>
          <w:color w:val="2E2A2C"/>
          <w:sz w:val="20"/>
        </w:rPr>
        <w:t>• Kapitel 23 – Wirkungsrisiko und Wirkungsresilienz</w:t>
      </w:r>
    </w:p>
    <w:p>
      <w:pPr>
        <w:ind w:left="227" w:hanging="142"/>
      </w:pPr>
      <w:r>
        <w:rPr>
          <w:rFonts w:ascii="Source Sans 3" w:hAnsi="Source Sans 3"/>
          <w:color w:val="2E2A2C"/>
          <w:sz w:val="20"/>
        </w:rPr>
        <w:t>• Kapitel 56 – Arbeit, Automatisierung und Maschinenleistung</w:t>
      </w:r>
    </w:p>
    <w:p>
      <w:pPr>
        <w:ind w:left="227" w:hanging="142"/>
      </w:pPr>
      <w:r>
        <w:rPr>
          <w:rFonts w:ascii="Source Sans 3" w:hAnsi="Source Sans 3"/>
          <w:color w:val="2E2A2C"/>
          <w:sz w:val="20"/>
        </w:rPr>
        <w:t>• Kapitel 57 – Wirkungseinkommen</w:t>
      </w:r>
    </w:p>
    <w:p>
      <w:pPr>
        <w:ind w:left="227" w:hanging="142"/>
      </w:pPr>
      <w:r>
        <w:rPr>
          <w:rFonts w:ascii="Source Sans 3" w:hAnsi="Source Sans 3"/>
          <w:color w:val="2E2A2C"/>
          <w:sz w:val="20"/>
        </w:rPr>
        <w:t>• Kapitel 58 – Wirkungsrente</w:t>
      </w:r>
    </w:p>
    <w:p>
      <w:pPr>
        <w:ind w:left="227" w:hanging="142"/>
      </w:pPr>
      <w:r>
        <w:rPr>
          <w:rFonts w:ascii="Source Sans 3" w:hAnsi="Source Sans 3"/>
          <w:color w:val="2E2A2C"/>
          <w:sz w:val="20"/>
        </w:rPr>
        <w:t>• Kapitel 37/38 – Wirkungssteuergesetz und WUStG</w:t>
      </w:r>
    </w:p>
    <w:p>
      <w:pPr>
        <w:ind w:left="227" w:hanging="142"/>
      </w:pPr>
      <w:r>
        <w:rPr>
          <w:rFonts w:ascii="Source Sans 3" w:hAnsi="Source Sans 3"/>
          <w:color w:val="2E2A2C"/>
          <w:sz w:val="20"/>
        </w:rPr>
        <w:t>• Kapitel 42–47 – Unternehmen als Wirkungssysteme und Wirkungscontrolling</w:t>
      </w:r>
    </w:p>
    <w:p>
      <w:pPr>
        <w:ind w:left="227" w:hanging="142"/>
      </w:pPr>
      <w:r>
        <w:rPr>
          <w:rFonts w:ascii="Source Sans 3" w:hAnsi="Source Sans 3"/>
          <w:color w:val="2E2A2C"/>
          <w:sz w:val="20"/>
        </w:rPr>
        <w:t>• Exkurs SDGs/SDG+ als Referenzrahmen</w:t>
      </w:r>
    </w:p>
    <w:p>
      <w:pPr>
        <w:pStyle w:val="Heading1"/>
      </w:pPr>
      <w:r>
        <w:t>Quellen und Anschlussstellen</w:t>
      </w:r>
    </w:p>
    <w:p>
      <w:r>
        <w:rPr>
          <w:color w:val="2E7D5C"/>
        </w:rPr>
        <w:t xml:space="preserve">• </w:t>
      </w:r>
      <w:r>
        <w:rPr>
          <w:b/>
        </w:rPr>
        <w:t>Natalie Weber: Die neue Ordnung des Wohlstands, Kap. 56 Arbeit, Automatisierung und Maschinenleistung; Kap. 57 Wirkungseinkommen; Kap. 58 Wirkungsrente.</w:t>
      </w:r>
      <w:r>
        <w:t xml:space="preserve"> – Interne WÖk-Grundlage</w:t>
      </w:r>
    </w:p>
    <w:p>
      <w:r>
        <w:rPr>
          <w:color w:val="2E7D5C"/>
        </w:rPr>
        <w:t xml:space="preserve">• </w:t>
      </w:r>
      <w:r>
        <w:rPr>
          <w:b/>
        </w:rPr>
        <w:t>Natalie Weber: Wenn Maschinen arbeiten. Warum wir ein neues System brauchen, 2025.</w:t>
      </w:r>
      <w:r>
        <w:t xml:space="preserve"> – Interne WÖk-Grundlage</w:t>
      </w:r>
    </w:p>
    <w:p>
      <w:r>
        <w:rPr>
          <w:color w:val="2E7D5C"/>
        </w:rPr>
        <w:t xml:space="preserve">• </w:t>
      </w:r>
      <w:r>
        <w:rPr>
          <w:b/>
        </w:rPr>
        <w:t>Natalie Weber: Arbeitspapier Wirkungseinkommensteuer (WEstG), 2025.</w:t>
      </w:r>
      <w:r>
        <w:t xml:space="preserve"> – Interne WÖk-Grundlage</w:t>
      </w:r>
    </w:p>
    <w:p>
      <w:r>
        <w:rPr>
          <w:color w:val="2E7D5C"/>
        </w:rPr>
        <w:t xml:space="preserve">• </w:t>
      </w:r>
      <w:r>
        <w:rPr>
          <w:b/>
        </w:rPr>
        <w:t>OECD Employment Outlook 2023: Artificial Intelligence and the Labour Market.</w:t>
      </w:r>
      <w:r>
        <w:t xml:space="preserve"> – https://www.oecd.org/en/publications/oecd-employment-outlook-2023_08785bba-en.html</w:t>
      </w:r>
    </w:p>
    <w:p>
      <w:r>
        <w:rPr>
          <w:color w:val="2E7D5C"/>
        </w:rPr>
        <w:t xml:space="preserve">• </w:t>
      </w:r>
      <w:r>
        <w:rPr>
          <w:b/>
        </w:rPr>
        <w:t>ILO: Generative AI and Jobs. A global analysis / refined global index of occupational exposure.</w:t>
      </w:r>
      <w:r>
        <w:t xml:space="preserve"> – https://www.ilo.org/publications/generative-ai-and-jobs-refined-global-index-occupational-exposure</w:t>
      </w:r>
    </w:p>
    <w:p>
      <w:r>
        <w:rPr>
          <w:color w:val="2E7D5C"/>
        </w:rPr>
        <w:t xml:space="preserve">• </w:t>
      </w:r>
      <w:r>
        <w:rPr>
          <w:b/>
        </w:rPr>
        <w:t>EU Artificial Intelligence Act – official application timeline.</w:t>
      </w:r>
      <w:r>
        <w:t xml:space="preserve"> – https://digital-strategy.ec.europa.eu/en/policies/regulatory-framework-ai</w:t>
      </w:r>
    </w:p>
    <w:p>
      <w:r>
        <w:rPr>
          <w:color w:val="2E7D5C"/>
        </w:rPr>
        <w:t xml:space="preserve">• </w:t>
      </w:r>
      <w:r>
        <w:rPr>
          <w:b/>
        </w:rPr>
        <w:t>Bundesregierung / BMAS: Sozialversicherungsrechengrößen 2026.</w:t>
      </w:r>
      <w:r>
        <w:t xml:space="preserve"> – https://www.bmas.de/DE/Service/Presse/Pressemitteilungen/2025/sozialversicherungsrechengroessen-2026.html</w:t>
      </w:r>
    </w:p>
    <w:p>
      <w:r>
        <w:rPr>
          <w:color w:val="2E7D5C"/>
        </w:rPr>
        <w:t xml:space="preserve">• </w:t>
      </w:r>
      <w:r>
        <w:rPr>
          <w:b/>
        </w:rPr>
        <w:t>Deutsche Rentenversicherung: Beitragssatz der gesetzlichen Rentenversicherung 2026.</w:t>
      </w:r>
      <w:r>
        <w:t xml:space="preserve"> – https://www.deutsche-rentenversicherung.de/</w:t>
      </w:r>
    </w:p>
    <w:p>
      <w:r>
        <w:rPr>
          <w:color w:val="2E7D5C"/>
        </w:rPr>
        <w:t xml:space="preserve">• </w:t>
      </w:r>
      <w:r>
        <w:rPr>
          <w:b/>
        </w:rPr>
        <w:t>UN Sustainable Development Goals und Global Indicator Framework.</w:t>
      </w:r>
      <w:r>
        <w:t xml:space="preserve"> – https://sdgs.un.org/goals</w:t>
      </w:r>
    </w:p>
    <w:sectPr w:rsidR="00FC693F" w:rsidRPr="0006063C" w:rsidSect="00034616">
      <w:footerReference w:type="default" r:id="rId9"/>
      <w:pgSz w:w="12240" w:h="15840"/>
      <w:pgMar w:top="1020" w:right="1191" w:bottom="907" w:left="119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Source Sans 3" w:hAnsi="Source Sans 3"/>
        <w:color w:val="666666"/>
        <w:sz w:val="16"/>
      </w:rPr>
      <w:t>Wirkungsökonomie | Natalie Weber | Arbeitsfassung | Wirkung statt Kapital. Für Mensch, Planet und Demokratie.</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3" w:hAnsi="Source Sans 3"/>
      <w:color w:val="2E2A2C"/>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Playfair Display" w:hAnsi="Playfair Display"/>
      <w:b/>
      <w:bCs/>
      <w:color w:val="09102A"/>
      <w:sz w:val="36"/>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Playfair Display" w:hAnsi="Playfair Display"/>
      <w:b/>
      <w:bCs/>
      <w:color w:val="09102A"/>
      <w:sz w:val="28"/>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3" w:hAnsi="Source Sans 3"/>
      <w:b/>
      <w:bCs/>
      <w:color w:val="2E7D5C"/>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Source Sans 3" w:hAnsi="Source Sans 3"/>
      <w:b/>
      <w:bCs/>
      <w:i/>
      <w:iCs/>
      <w:color w:val="C8983C"/>
      <w:sz w:val="22"/>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Playfair Display" w:hAnsi="Playfair Display"/>
      <w:b/>
      <w:color w:val="09102A"/>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