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Georgia" w:hAnsi="Georgia"/>
          <w:b/>
          <w:color w:val="001832"/>
          <w:sz w:val="50"/>
        </w:rPr>
        <w:t>WIRKUNGSÖKONOMIE</w:t>
      </w:r>
    </w:p>
    <w:p>
      <w:pPr>
        <w:jc w:val="center"/>
      </w:pPr>
      <w:r>
        <w:rPr>
          <w:rFonts w:ascii="Arial" w:hAnsi="Arial"/>
          <w:b/>
          <w:color w:val="287D5C"/>
          <w:sz w:val="18"/>
        </w:rPr>
        <w:t>EINZELDOSSIER</w:t>
      </w:r>
    </w:p>
    <w:p>
      <w:pPr>
        <w:jc w:val="center"/>
      </w:pPr>
      <w:r>
        <w:drawing>
          <wp:inline xmlns:a="http://schemas.openxmlformats.org/drawingml/2006/main" xmlns:pic="http://schemas.openxmlformats.org/drawingml/2006/picture">
            <wp:extent cx="1024128" cy="7396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woek_brand_mark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024128" cy="739648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ascii="Georgia" w:hAnsi="Georgia"/>
          <w:b/>
          <w:color w:val="001832"/>
          <w:sz w:val="46"/>
        </w:rPr>
        <w:t>Mieterstrom und Energie-Gemeinschaften</w:t>
      </w:r>
    </w:p>
    <w:p>
      <w:pPr>
        <w:jc w:val="center"/>
      </w:pPr>
      <w:r>
        <w:rPr>
          <w:rFonts w:ascii="Arial" w:hAnsi="Arial"/>
          <w:color w:val="252D3C"/>
          <w:sz w:val="23"/>
        </w:rPr>
        <w:t>Energie im Gebäude als Teil von Wohnkosten, Resilienz und Teilhabe.</w:t>
      </w:r>
    </w:p>
    <w:p>
      <w:pPr>
        <w:jc w:val="center"/>
      </w:pPr>
      <w:r>
        <w:rPr>
          <w:rFonts w:ascii="Arial" w:hAnsi="Arial"/>
          <w:color w:val="252D3C"/>
          <w:sz w:val="19"/>
        </w:rPr>
        <w:t>Autorin: Natalie Weber · Referenz: Wirkungsökonomie</w:t>
      </w:r>
    </w:p>
    <w:p>
      <w:pPr>
        <w:jc w:val="center"/>
      </w:pPr>
      <w:r>
        <w:rPr>
          <w:rFonts w:ascii="Arial" w:hAnsi="Arial"/>
          <w:color w:val="6F6F6F"/>
          <w:sz w:val="17"/>
        </w:rPr>
        <w:t>Version v0.1 · Stand: 24. Mai 2026 · Status: Arbeitsfassung / Diskussionsfassung</w:t>
      </w:r>
    </w:p>
    <w:p/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Wirkung statt Kapital</w:t>
              <w:br/>
            </w:r>
            <w:r>
              <w:rPr>
                <w:rFonts w:ascii="Arial" w:hAnsi="Arial"/>
                <w:color w:val="6F6F6F"/>
                <w:sz w:val="15"/>
              </w:rPr>
              <w:t>Wohnen als Lebens- und Vertrauensraum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Mensch · Planet · Demokratie</w:t>
              <w:br/>
            </w:r>
            <w:r>
              <w:rPr>
                <w:rFonts w:ascii="Arial" w:hAnsi="Arial"/>
                <w:color w:val="6F6F6F"/>
                <w:sz w:val="15"/>
              </w:rPr>
              <w:t>Bezahlbarkeit, Gesundheit, Klima, Teilhabe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>
              <w:rPr>
                <w:rFonts w:ascii="Arial" w:hAnsi="Arial"/>
                <w:b/>
                <w:color w:val="001832"/>
                <w:sz w:val="16"/>
              </w:rPr>
              <w:t>Politische Anschlussfähigkeit</w:t>
              <w:br/>
            </w:r>
            <w:r>
              <w:rPr>
                <w:rFonts w:ascii="Arial" w:hAnsi="Arial"/>
                <w:color w:val="6F6F6F"/>
                <w:sz w:val="15"/>
              </w:rPr>
              <w:t>Rahmen setzen, Ausgestaltung ermöglichen</w:t>
            </w:r>
          </w:p>
        </w:tc>
      </w:tr>
    </w:tbl>
    <w:p>
      <w:r>
        <w:br w:type="page"/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Dokumenttyp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Einzeldossier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Themenbereich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Wohnen &amp; Stadt · Mieterstrom und Energie-Gemeinschaften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Autorin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Natalie Weber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Referenz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Wirkungsökonomie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Version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v0.1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Stand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24. Mai 2026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Status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/ Diskussionsfassung</w:t>
            </w:r>
          </w:p>
        </w:tc>
      </w:tr>
      <w:tr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  <w:shd w:fill="F6F1E8"/>
          </w:tcPr>
          <w:p>
            <w:r/>
            <w:r>
              <w:rPr>
                <w:rFonts w:ascii="Arial" w:hAnsi="Arial"/>
                <w:b/>
                <w:color w:val="252D3C"/>
                <w:sz w:val="16"/>
              </w:rPr>
              <w:t>Hinweis</w:t>
            </w:r>
          </w:p>
        </w:tc>
        <w:tc>
          <w:tcPr>
            <w:tcW w:type="dxa" w:w="504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6"/>
              </w:rPr>
              <w:t>Arbeitsfassung für Konzept-, Website- und Dossierarchitektur; keine Rechts-, Steuer- oder Förderberatung.</w:t>
            </w:r>
          </w:p>
        </w:tc>
      </w:tr>
    </w:tbl>
    <w:p/>
    <w:p>
      <w:pPr>
        <w:pStyle w:val="Heading1"/>
      </w:pPr>
      <w:r>
        <w:t>1. Kurzfassung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Dieses Einzeldossier übersetzt das Detailkonzept „Mieterstrom und Energie-Gemeinschaften“ in praktische Anwendung: Beispiele, Bewertungslogik, Datenquellen, politische Optionen, Toolbezug und Online-Umsetzung.</w:t>
      </w:r>
    </w:p>
    <w:p>
      <w:pPr>
        <w:pStyle w:val="Heading1"/>
      </w:pPr>
      <w:r>
        <w:t>2. Konkrete Anwendungsfragen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Zustände sollen verbessert werden?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Daten können genutzt werden?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Scores, Schwellen oder roten Linien sind plausibel?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Akteur:innen sind betroffen?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Welche politischen Entscheidungen sind notwendig, aber gestaltbar?</w:t>
      </w:r>
    </w:p>
    <w:p>
      <w:pPr>
        <w:pStyle w:val="Heading1"/>
      </w:pPr>
      <w:r>
        <w:t>3. Beispielhafte Bewertungslogik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3360"/>
        <w:gridCol w:w="3360"/>
        <w:gridCol w:w="3360"/>
      </w:tblGrid>
      <w:tr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Input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Arbeitsformel</w:t>
            </w:r>
          </w:p>
        </w:tc>
        <w:tc>
          <w:tcPr>
            <w:tcW w:type="dxa" w:w="3360"/>
            <w:shd w:fill="001832"/>
            <w:tcBorders>
              <w:top w:val="single" w:sz="8" w:space="0" w:color="001832"/>
              <w:left w:val="single" w:sz="8" w:space="0" w:color="001832"/>
              <w:bottom w:val="single" w:sz="8" w:space="0" w:color="001832"/>
              <w:right w:val="single" w:sz="8" w:space="0" w:color="001832"/>
            </w:tcBorders>
          </w:tcPr>
          <w:p>
            <w:r/>
            <w:r>
              <w:rPr>
                <w:rFonts w:ascii="Arial" w:hAnsi="Arial"/>
                <w:b/>
                <w:color w:val="FFFFFF"/>
                <w:sz w:val="15"/>
              </w:rPr>
              <w:t>Output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Wohnkosten + Einkommen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Wohnkosten / Einkommen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Mietbelastungsquote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Mietbelastungsquote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Scorematrix + Härtefallprüfung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Mietwirkungs-Score</w:t>
            </w:r>
          </w:p>
        </w:tc>
      </w:tr>
      <w:tr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Score + Haushaltstyp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Schutzregel gegen Überlastung</w:t>
            </w:r>
          </w:p>
        </w:tc>
        <w:tc>
          <w:tcPr>
            <w:tcW w:type="dxa" w:w="3360"/>
            <w:tcBorders>
              <w:top w:val="single" w:sz="8" w:space="0" w:color="D8D1C4"/>
              <w:left w:val="single" w:sz="8" w:space="0" w:color="D8D1C4"/>
              <w:bottom w:val="single" w:sz="8" w:space="0" w:color="D8D1C4"/>
              <w:right w:val="single" w:sz="8" w:space="0" w:color="D8D1C4"/>
            </w:tcBorders>
          </w:tcPr>
          <w:p>
            <w:r/>
            <w:r>
              <w:rPr>
                <w:rFonts w:ascii="Arial" w:hAnsi="Arial"/>
                <w:b w:val="0"/>
                <w:color w:val="252D3C"/>
                <w:sz w:val="15"/>
              </w:rPr>
              <w:t>Förder- oder Entlastungsbedarf</w:t>
            </w:r>
          </w:p>
        </w:tc>
      </w:tr>
    </w:tbl>
    <w:p/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Beispiel: 1.250 Euro Wohnkosten bei 3.200 Euro verfügbarem Einkommen = 39,1 %. Das liegt im Grenzbereich. Eine Mieterhöhung oder Sanierungsumlage müsste durch Energiekosteneinsparung oder Ausgleich kompensiert werden.</w:t>
      </w:r>
    </w:p>
    <w:p>
      <w:pPr>
        <w:pStyle w:val="Heading1"/>
      </w:pPr>
      <w:r>
        <w:t>4. Datenquellen und Datenqualität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Amtliche Statistik: Destatis, Eurostat, kommunale Miet- und Wohnungsdaten.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Gebäudedaten: Energieausweise, Verbrauchsdaten, Sanierungsstand, Wärmeträger, Gebäuderegister.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Quartiersdaten: Grün, Hitze, Lärm, Versorgung, Mobilität, Sozialstruktur, Barrierefreiheit, Pflege- und Gesundheitsinfrastruktur.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WÖk-Daten: WÖk-IDs, Scorecards, Benchmarks, Sozialraumprofil, Dossierdaten.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Unsicherheiten müssen sichtbar bleiben: Quelle, Aktualität, Modellannahme, Prüfstatus.</w:t>
      </w:r>
    </w:p>
    <w:p>
      <w:pPr>
        <w:pStyle w:val="Heading1"/>
      </w:pPr>
      <w:r>
        <w:t>5. Politische Anschlussfähigkeit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Das Dossier formuliert keine Einheitslösung. Es stellt Entscheidungsräume bereit: Parteien können unterschiedliche Wege wählen, solange sie Wirkungen, Zielkonflikte und Schutzgrenzen transparent machen.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Sozialpolitisch: Entlastung, Mieterschutz, Sozialbindung, Wohngeld, Härtefallfonds.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Marktwirtschaftlich: Steueranreize, Bonuslogik, Investitionssicherheit, Eigentumsverantwortung.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Kommunalpolitisch: Bodenpolitik, Quartiersbudgets, Beteiligung, soziale Infrastruktur.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Ökologisch: Sanierung, Energie, Kreislaufmaterialien, Hitze- und Klimaanpassung.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Demokratisch: Transparenz, Beteiligung, Rechtschutz, Vermeidung von Technokratie.</w:t>
      </w:r>
    </w:p>
    <w:p>
      <w:pPr>
        <w:pStyle w:val="Heading1"/>
      </w:pPr>
      <w:r>
        <w:t>6. Tool- und Online-Bezug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Online-Dossier: /wirkungsfelder/wohnen-stadt/dossiers/mieterstrom_energie_gemeinschaften/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Toolbezug: Wohnwirkungsrechner / WIX-Wohn / Sanierungswirkungsrechner / Quartierswirkungscheck.</w:t>
      </w:r>
    </w:p>
    <w:p>
      <w:pPr>
        <w:spacing w:after="40"/>
        <w:ind w:left="317" w:hanging="202"/>
      </w:pPr>
      <w:r>
        <w:rPr>
          <w:rFonts w:ascii="Arial" w:hAnsi="Arial"/>
          <w:b/>
          <w:color w:val="287D5C"/>
        </w:rPr>
        <w:t xml:space="preserve">• </w:t>
      </w:r>
      <w:r>
        <w:rPr>
          <w:rFonts w:ascii="Arial" w:hAnsi="Arial"/>
          <w:color w:val="252D3C"/>
          <w:sz w:val="18"/>
        </w:rPr>
        <w:t>Export: Druckfunktion, Dossier-Download, Quellenregister und Versionierung.</w:t>
      </w:r>
    </w:p>
    <w:p>
      <w:pPr>
        <w:pStyle w:val="Heading2"/>
      </w:pPr>
      <w:r>
        <w:t>Quellen- und Datenbasis</w:t>
      </w:r>
    </w:p>
    <w:p>
      <w:pPr>
        <w:spacing w:after="100"/>
      </w:pPr>
      <w:r>
        <w:rPr>
          <w:rFonts w:ascii="Arial" w:hAnsi="Arial"/>
          <w:b w:val="0"/>
          <w:color w:val="252D3C"/>
          <w:sz w:val="19"/>
        </w:rPr>
        <w:t>Die folgenden Quellen dienen als Ausgangspunkt für die Online-Fassung, die Berechnungsbeispiele und die politische Anschlussfähigkeit. Modellwerte sind als Arbeitsannahmen gekennzeichnet und ersetzen keine amtliche Berechnung.</w:t>
      </w:r>
    </w:p>
    <w:p>
      <w:r>
        <w:rPr>
          <w:rFonts w:ascii="Arial" w:hAnsi="Arial"/>
          <w:color w:val="252D3C"/>
          <w:sz w:val="17"/>
        </w:rPr>
        <w:t xml:space="preserve">• Destatis: Wohnen in Deutschland: </w:t>
      </w:r>
      <w:hyperlink r:id="rId12">
        <w:r>
          <w:rPr>
            <w:color w:val="287D5C"/>
            <w:u w:val="single"/>
          </w:rPr>
          <w:t>https://www.destatis.de/DE/Themen/Gesellschaft-Umwelt/Wohnen/_inhalt.html</w:t>
        </w:r>
      </w:hyperlink>
    </w:p>
    <w:p>
      <w:r>
        <w:rPr>
          <w:rFonts w:ascii="Arial" w:hAnsi="Arial"/>
          <w:color w:val="252D3C"/>
          <w:sz w:val="17"/>
        </w:rPr>
        <w:t xml:space="preserve">• Destatis/Eurostat: Wohnkostenüberbelastung 2025: </w:t>
      </w:r>
      <w:hyperlink r:id="rId13">
        <w:r>
          <w:rPr>
            <w:color w:val="287D5C"/>
            <w:u w:val="single"/>
          </w:rPr>
          <w:t>https://www.destatis.de/Europa/DE/Thema/Bevoelkerung-Arbeit-Soziales/Soziales-Lebensbedingungen/Wohnkosten.html</w:t>
        </w:r>
      </w:hyperlink>
    </w:p>
    <w:p>
      <w:r>
        <w:rPr>
          <w:rFonts w:ascii="Arial" w:hAnsi="Arial"/>
          <w:color w:val="252D3C"/>
          <w:sz w:val="17"/>
        </w:rPr>
        <w:t xml:space="preserve">• BBSR: Wohnungsbedarfsprognose 2025: </w:t>
      </w:r>
      <w:hyperlink r:id="rId14">
        <w:r>
          <w:rPr>
            <w:color w:val="287D5C"/>
            <w:u w:val="single"/>
          </w:rPr>
          <w:t>https://www.bbsr.bund.de/BBSR/DE/presse/presseinformationen/2025/wohnungsbedarfsprognose.html</w:t>
        </w:r>
      </w:hyperlink>
    </w:p>
    <w:p>
      <w:r>
        <w:rPr>
          <w:rFonts w:ascii="Arial" w:hAnsi="Arial"/>
          <w:color w:val="252D3C"/>
          <w:sz w:val="17"/>
        </w:rPr>
        <w:t xml:space="preserve">• Umweltbundesamt: Emissionsdaten 2024 – Gebäude: </w:t>
      </w:r>
      <w:hyperlink r:id="rId15">
        <w:r>
          <w:rPr>
            <w:color w:val="287D5C"/>
            <w:u w:val="single"/>
          </w:rPr>
          <w:t>https://www.umweltbundesamt.de/system/files?file=medien/11867/dokumente/emissionsdaten_2024_-_pressehintergrundinformationen.pdf</w:t>
        </w:r>
      </w:hyperlink>
    </w:p>
    <w:p>
      <w:r>
        <w:rPr>
          <w:rFonts w:ascii="Arial" w:hAnsi="Arial"/>
          <w:color w:val="252D3C"/>
          <w:sz w:val="17"/>
        </w:rPr>
        <w:t xml:space="preserve">• Europäische Kommission: Energy Performance of Buildings Directive: </w:t>
      </w:r>
      <w:hyperlink r:id="rId16">
        <w:r>
          <w:rPr>
            <w:color w:val="287D5C"/>
            <w:u w:val="single"/>
          </w:rPr>
          <w:t>https://energy.ec.europa.eu/topics/energy-efficiency/energy-performance-buildings/energy-performance-buildings-directive_en</w:t>
        </w:r>
      </w:hyperlink>
    </w:p>
    <w:p>
      <w:r>
        <w:rPr>
          <w:rFonts w:ascii="Arial" w:hAnsi="Arial"/>
          <w:color w:val="252D3C"/>
          <w:sz w:val="17"/>
        </w:rPr>
        <w:t xml:space="preserve">• Interne WÖk-Basis: Working-Paper Wohnungsmarkt, Systemmodell, Buchfassung 2026, Begriffsleitfaden: </w:t>
      </w:r>
      <w:r>
        <w:rPr>
          <w:rFonts w:ascii="Arial" w:hAnsi="Arial"/>
          <w:color w:val="6F6F6F"/>
          <w:sz w:val="17"/>
        </w:rPr>
        <w:t>/werkstatt/arbeitsbibliothek/wirkungsfelder/wohnen-stadt/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08" w:left="1080" w:header="360" w:footer="36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/>
        <w:color w:val="6F6F6F"/>
        <w:sz w:val="14"/>
      </w:rPr>
      <w:t>© Natalie Weber · Wirkungsökonomie · v0.1 · Arbeitsfassung / Diskussionsfassung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right"/>
    </w:pPr>
    <w:r>
      <w:rPr>
        <w:rFonts w:ascii="Georgia" w:hAnsi="Georgia"/>
        <w:b/>
        <w:color w:val="001832"/>
        <w:sz w:val="18"/>
      </w:rPr>
      <w:t>WIRKUNGSÖKONOMIE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D3C"/>
      <w:sz w:val="19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01832"/>
      <w:sz w:val="3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01832"/>
      <w:sz w:val="27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01832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 w:ascii="Georgia" w:hAnsi="Georgia"/>
      <w:b/>
      <w:color w:val="001832"/>
      <w:spacing w:val="5"/>
      <w:kern w:val="28"/>
      <w:sz w:val="5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www.destatis.de/DE/Themen/Gesellschaft-Umwelt/Wohnen/_inhalt.html" TargetMode="External"/><Relationship Id="rId13" Type="http://schemas.openxmlformats.org/officeDocument/2006/relationships/hyperlink" Target="https://www.destatis.de/Europa/DE/Thema/Bevoelkerung-Arbeit-Soziales/Soziales-Lebensbedingungen/Wohnkosten.html" TargetMode="External"/><Relationship Id="rId14" Type="http://schemas.openxmlformats.org/officeDocument/2006/relationships/hyperlink" Target="https://www.bbsr.bund.de/BBSR/DE/presse/presseinformationen/2025/wohnungsbedarfsprognose.html" TargetMode="External"/><Relationship Id="rId15" Type="http://schemas.openxmlformats.org/officeDocument/2006/relationships/hyperlink" Target="https://www.umweltbundesamt.de/system/files?file=medien/11867/dokumente/emissionsdaten_2024_-_pressehintergrundinformationen.pdf" TargetMode="External"/><Relationship Id="rId16" Type="http://schemas.openxmlformats.org/officeDocument/2006/relationships/hyperlink" Target="https://energy.ec.europa.eu/topics/energy-efficiency/energy-performance-buildings/energy-performance-buildings-directive_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