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Quartier, Stadt und Sozialraumprofil</w:t>
      </w:r>
    </w:p>
    <w:p>
      <w:pPr>
        <w:jc w:val="center"/>
      </w:pPr>
      <w:r>
        <w:rPr>
          <w:rFonts w:ascii="Arial" w:hAnsi="Arial"/>
          <w:color w:val="252D3C"/>
          <w:sz w:val="23"/>
        </w:rPr>
        <w:t>Stadtteile als Wirkungsräume für Gesundheit, Mobilität, Bildung, Pflege und Demokratie.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Quartier, Stadt und Sozialraumprofil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„Quartier, Stadt und Sozialraumprofil“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Bewertungsfeld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Möglicher Indikator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Wirkungsfrage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Mensch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Belastung, Zugang, Gesundheit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Lebensqualität?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Planet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Energie, Fläche, Material, Hitze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Senkt oder erhöht der Bereich ökologische Folgekosten?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Demokratie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Teilhabe, Vertrauen, Verdrängung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Zusammenhalt?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konkrete Berechnung erfolgt je nach Unterbereich über WÖk-IDs, Scorecards und Kontextdaten. Modellwerte sind transparent zu kennzeichnen und politisch zu validieren.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/wirkungsfelder/wohnen-stadt/dossiers/quartier_stadt_sozialraumprofil/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