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Playfair Display" w:hAnsi="Playfair Display"/>
          <w:b/>
          <w:color w:val="09102A"/>
          <w:sz w:val="30"/>
        </w:rPr>
        <w:t>WIRKUNGSÖKONOMIE</w:t>
      </w:r>
    </w:p>
    <w:p>
      <w:pPr>
        <w:jc w:val="left"/>
      </w:pPr>
      <w:r>
        <w:rPr>
          <w:rFonts w:ascii="Source Sans 3" w:hAnsi="Source Sans 3"/>
          <w:b/>
          <w:color w:val="C8983C"/>
          <w:sz w:val="18"/>
        </w:rPr>
        <w:t>Wirkung statt Kapital. Für Mensch, Planet und Demokratie.</w:t>
      </w:r>
    </w:p>
    <w:p/>
    <w:p>
      <w:pPr>
        <w:pStyle w:val="Title"/>
      </w:pPr>
      <w:r>
        <w:t>Einzeldossier: Sozialabgaben von menschlicher Arbeit entkoppeln</w:t>
      </w:r>
    </w:p>
    <w:p>
      <w:r>
        <w:rPr>
          <w:rFonts w:ascii="Source Sans 3" w:hAnsi="Source Sans 3"/>
          <w:b/>
          <w:color w:val="2E7D5C"/>
          <w:sz w:val="28"/>
        </w:rPr>
        <w:t>Beispiele, Datenquellen und Umsetzungslogik – Sozialabgaben von menschlicher Arbeit entkoppeln</w:t>
      </w:r>
    </w:p>
    <w:p/>
    <w:tbl>
      <w:tblPr>
        <w:tblW w:type="auto" w:w="0"/>
        <w:jc w:val="left"/>
        <w:tblLook w:firstColumn="1" w:firstRow="1" w:lastColumn="0" w:lastRow="0" w:noHBand="0" w:noVBand="1" w:val="04A0"/>
      </w:tblPr>
      <w:tblGrid>
        <w:gridCol w:w="4929"/>
        <w:gridCol w:w="4929"/>
      </w:tblGrid>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Autorin</w:t>
            </w:r>
          </w:p>
        </w:tc>
        <w:tc>
          <w:tcPr>
            <w:tcW w:type="dxa" w:w="4929"/>
            <w:tcBorders>
              <w:top w:val="single" w:sz="4" w:space="0" w:color="D8D0C4"/>
              <w:left w:val="single" w:sz="4" w:space="0" w:color="D8D0C4"/>
              <w:bottom w:val="single" w:sz="4" w:space="0" w:color="D8D0C4"/>
              <w:right w:val="single" w:sz="4" w:space="0" w:color="D8D0C4"/>
            </w:tcBorders>
            <w:vAlign w:val="center"/>
          </w:tcPr>
          <w:p>
            <w:r>
              <w:t>Natalie Weber</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Referenz</w:t>
            </w:r>
          </w:p>
        </w:tc>
        <w:tc>
          <w:tcPr>
            <w:tcW w:type="dxa" w:w="4929"/>
            <w:tcBorders>
              <w:top w:val="single" w:sz="4" w:space="0" w:color="D8D0C4"/>
              <w:left w:val="single" w:sz="4" w:space="0" w:color="D8D0C4"/>
              <w:bottom w:val="single" w:sz="4" w:space="0" w:color="D8D0C4"/>
              <w:right w:val="single" w:sz="4" w:space="0" w:color="D8D0C4"/>
            </w:tcBorders>
            <w:vAlign w:val="center"/>
          </w:tcPr>
          <w:p>
            <w:r>
              <w:t>Wirkungsökonomie</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Version</w:t>
            </w:r>
          </w:p>
        </w:tc>
        <w:tc>
          <w:tcPr>
            <w:tcW w:type="dxa" w:w="4929"/>
            <w:tcBorders>
              <w:top w:val="single" w:sz="4" w:space="0" w:color="D8D0C4"/>
              <w:left w:val="single" w:sz="4" w:space="0" w:color="D8D0C4"/>
              <w:bottom w:val="single" w:sz="4" w:space="0" w:color="D8D0C4"/>
              <w:right w:val="single" w:sz="4" w:space="0" w:color="D8D0C4"/>
            </w:tcBorders>
            <w:vAlign w:val="center"/>
          </w:tcPr>
          <w:p>
            <w:r>
              <w:t>v0.1</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Stand</w:t>
            </w:r>
          </w:p>
        </w:tc>
        <w:tc>
          <w:tcPr>
            <w:tcW w:type="dxa" w:w="4929"/>
            <w:tcBorders>
              <w:top w:val="single" w:sz="4" w:space="0" w:color="D8D0C4"/>
              <w:left w:val="single" w:sz="4" w:space="0" w:color="D8D0C4"/>
              <w:bottom w:val="single" w:sz="4" w:space="0" w:color="D8D0C4"/>
              <w:right w:val="single" w:sz="4" w:space="0" w:color="D8D0C4"/>
            </w:tcBorders>
            <w:vAlign w:val="center"/>
          </w:tcPr>
          <w:p>
            <w:r>
              <w:t>24. Mai 2026</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Status</w:t>
            </w:r>
          </w:p>
        </w:tc>
        <w:tc>
          <w:tcPr>
            <w:tcW w:type="dxa" w:w="4929"/>
            <w:tcBorders>
              <w:top w:val="single" w:sz="4" w:space="0" w:color="D8D0C4"/>
              <w:left w:val="single" w:sz="4" w:space="0" w:color="D8D0C4"/>
              <w:bottom w:val="single" w:sz="4" w:space="0" w:color="D8D0C4"/>
              <w:right w:val="single" w:sz="4" w:space="0" w:color="D8D0C4"/>
            </w:tcBorders>
            <w:vAlign w:val="center"/>
          </w:tcPr>
          <w:p>
            <w:r>
              <w:t>Arbeits- und Diskussionsfassung</w:t>
            </w:r>
          </w:p>
        </w:tc>
      </w:tr>
    </w:tbl>
    <w:p>
      <w:r>
        <w:t>Dieses Dokument ist eine öffentliche Arbeits- und Diskussionsfassung. Es enthält keine internen CodeX- oder Repository-Anweisungen. Technische Umsetzungshinweise werden separat geführt.</w:t>
      </w:r>
    </w:p>
    <w:p>
      <w:r>
        <w:br w:type="page"/>
      </w:r>
    </w:p>
    <w:p>
      <w:pPr>
        <w:pStyle w:val="Heading1"/>
      </w:pPr>
      <w:r>
        <w:t>Kurzfassung</w:t>
      </w:r>
    </w:p>
    <w:p>
      <w:r>
        <w:t>Dieses Einzeldossier macht das Detailkonzept „Sozialabgaben von menschlicher Arbeit entkoppeln“ praktisch anschlussfähig. Es enthält Beispielrechnungen, Datenquellen, Annahmen, mögliche Indikatoren, Risiken, politische Optionen und Tool-Bezug.</w:t>
      </w:r>
    </w:p>
    <w:p>
      <w:pPr>
        <w:pStyle w:val="Heading1"/>
      </w:pPr>
      <w:r>
        <w:t>Datenquellen und Indikatorfamilien</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Datenfeld</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Mögliche Quellen und Bedeutung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Arbeitsmarkt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Beschäftigung, Löhne, Berufsgruppen, Aufgabenprofile, Arbeitszeit, Erwerbsquote, Unterbeschäftigung, Qualifikationsstruktur.</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Automatisierung/KI</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Tätigkeitsexposition gegenüber KI, Robotik- und Softwareeinsatz, Produktivitätsgewinne, Substitution/Komplementarität.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Sozialfinanzierung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Lohnsumme, Arbeitgeber- und Arbeitnehmerbeiträge, Wertschöpfung, Kapitalerträge, Unternehmensgewinne, Fondsrückflüsse.</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WÖk-IDs für Arbeit, Bildung, Gesundheit, Gleichstellung, Innovation, Demokratie, digitale Selbstbestimmung und soziale Kohäsion.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Datenqualität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amtliche Daten, geprüfte Unternehmensdaten, CSRD/ESRS, Tarif-/Sozialdaten, Modellannahmen, Selbstauskünfte mit Assurance-Stufe.</w:t>
            </w:r>
          </w:p>
        </w:tc>
      </w:tr>
    </w:tbl>
    <w:p/>
    <w:p>
      <w:pPr>
        <w:pStyle w:val="Heading1"/>
      </w:pPr>
      <w:r>
        <w:t>Beispielhafte Scorecard</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Wirkungsfeld</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Beispielhafte Bewertung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Sicherheit und Grundversorgung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wenn Existenzsicherung, Qualifizierung und Übergangsschutz gestärkt werden; -2 wenn Ausschluss und Prekarität wachsen.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Wirkleistung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+3 bei hoher Wirkung auf Care, Bildung, Gesundheit, Demokratie oder Regeneration; 0 bei neutraler Tätigkeit; -3 bei nachweislich destruktiver Systemwirkung.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 und Grundrechtsschutz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bei transparenter, minimierter und rechtsschutzfähiger Datennutzung; -3 bei Überwachung, Manipulation oder Personen-Scoring.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Resilienz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wenn Regionen, Sozialstaat und Unternehmen resilienter werden; -2 wenn Abhängigkeiten und Systemrisiken steigen.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Transformationsfähigkeit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bei Weiterbildung, Mitbestimmung und Technologiezugang; -2 bei Entwertung ohne Ausgleich.</w:t>
            </w:r>
          </w:p>
        </w:tc>
      </w:tr>
    </w:tbl>
    <w:p/>
    <w:p>
      <w:pPr>
        <w:pStyle w:val="Heading1"/>
      </w:pPr>
      <w:r>
        <w:t>Modellrechnung</w:t>
      </w:r>
    </w:p>
    <w:p>
      <w:r>
        <w:t>Die folgende Modellrechnung ist bewusst einfach gehalten. Sie dient der öffentlichen Nachvollziehbarkeit und ist nicht als amtliche Berechnung zu verstehen.</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Rechenelement</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Bedeutung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1</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Markteinkommen oder automatisierungsbedingter Wertschöpfungszuwachs</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2</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Tätigkeits- oder Organisationsscore von -3 bis +3</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3</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Datenqualitätsfaktor 0,5 bis 1,0</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4</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Sozial-/Transformationsbedarf je Region oder Branche</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Ausgabe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Wirkungsbonus, Wirkungsabzug, Fondsbeitrag oder Übergangsanspruch</w:t>
            </w:r>
          </w:p>
        </w:tc>
      </w:tr>
    </w:tbl>
    <w:p/>
    <w:p>
      <w:pPr>
        <w:pStyle w:val="Heading1"/>
      </w:pPr>
      <w:r>
        <w:t>Risiken und Schutzmechanismen</w:t>
      </w:r>
    </w:p>
    <w:p>
      <w:pPr>
        <w:ind w:left="227" w:hanging="142"/>
      </w:pPr>
      <w:r>
        <w:rPr>
          <w:rFonts w:ascii="Source Sans 3" w:hAnsi="Source Sans 3"/>
          <w:color w:val="2E2A2C"/>
          <w:sz w:val="20"/>
        </w:rPr>
        <w:t>• Kein Personen-Scoring: Bewertet werden Tätigkeits-, Projekt-, Organisations- und Systemkontexte, nicht der menschliche Wert einer Person.</w:t>
      </w:r>
    </w:p>
    <w:p>
      <w:pPr>
        <w:ind w:left="227" w:hanging="142"/>
      </w:pPr>
      <w:r>
        <w:rPr>
          <w:rFonts w:ascii="Source Sans 3" w:hAnsi="Source Sans 3"/>
          <w:color w:val="2E2A2C"/>
          <w:sz w:val="20"/>
        </w:rPr>
        <w:t>• Datensparsamkeit: So viele Daten wie nötig, so wenige personenbezogene Daten wie möglich.</w:t>
      </w:r>
    </w:p>
    <w:p>
      <w:pPr>
        <w:ind w:left="227" w:hanging="142"/>
      </w:pPr>
      <w:r>
        <w:rPr>
          <w:rFonts w:ascii="Source Sans 3" w:hAnsi="Source Sans 3"/>
          <w:color w:val="2E2A2C"/>
          <w:sz w:val="20"/>
        </w:rPr>
        <w:t>• Rechtsschutz: Jede belastende Einstufung braucht Einspruchs- und Korrekturwege.</w:t>
      </w:r>
    </w:p>
    <w:p>
      <w:pPr>
        <w:ind w:left="227" w:hanging="142"/>
      </w:pPr>
      <w:r>
        <w:rPr>
          <w:rFonts w:ascii="Source Sans 3" w:hAnsi="Source Sans 3"/>
          <w:color w:val="2E2A2C"/>
          <w:sz w:val="20"/>
        </w:rPr>
        <w:t>• KMU- und Bürger:innen-Schutz: Keine Überforderung durch Berichtspflichten; standardisierte, einfache Einstiegsversionen.</w:t>
      </w:r>
    </w:p>
    <w:p>
      <w:pPr>
        <w:ind w:left="227" w:hanging="142"/>
      </w:pPr>
      <w:r>
        <w:rPr>
          <w:rFonts w:ascii="Source Sans 3" w:hAnsi="Source Sans 3"/>
          <w:color w:val="2E2A2C"/>
          <w:sz w:val="20"/>
        </w:rPr>
        <w:t>• Demokratische Kontrolle: Wirkungsrat, Parlament, Sozialpartner und Öffentlichkeit prüfen Methodik und Nebenwirkungen.</w:t>
      </w:r>
    </w:p>
    <w:p>
      <w:pPr>
        <w:pStyle w:val="Heading1"/>
      </w:pPr>
      <w:r>
        <w:t>Tool-Bezug</w:t>
      </w:r>
    </w:p>
    <w:p>
      <w:pPr>
        <w:ind w:left="227" w:hanging="142"/>
      </w:pPr>
      <w:r>
        <w:rPr>
          <w:rFonts w:ascii="Source Sans 3" w:hAnsi="Source Sans 3"/>
          <w:color w:val="2E2A2C"/>
          <w:sz w:val="20"/>
        </w:rPr>
        <w:t>• Wirkungseinkommen-Simulator</w:t>
      </w:r>
    </w:p>
    <w:p>
      <w:pPr>
        <w:ind w:left="227" w:hanging="142"/>
      </w:pPr>
      <w:r>
        <w:rPr>
          <w:rFonts w:ascii="Source Sans 3" w:hAnsi="Source Sans 3"/>
          <w:color w:val="2E2A2C"/>
          <w:sz w:val="20"/>
        </w:rPr>
        <w:t>• Automatisierungsdividenden-Rechner</w:t>
      </w:r>
    </w:p>
    <w:p>
      <w:pPr>
        <w:ind w:left="227" w:hanging="142"/>
      </w:pPr>
      <w:r>
        <w:rPr>
          <w:rFonts w:ascii="Source Sans 3" w:hAnsi="Source Sans 3"/>
          <w:color w:val="2E2A2C"/>
          <w:sz w:val="20"/>
        </w:rPr>
        <w:t>• Sozialabgaben-Entkopplungsrechner</w:t>
      </w:r>
    </w:p>
    <w:p>
      <w:pPr>
        <w:ind w:left="227" w:hanging="142"/>
      </w:pPr>
      <w:r>
        <w:rPr>
          <w:rFonts w:ascii="Source Sans 3" w:hAnsi="Source Sans 3"/>
          <w:color w:val="2E2A2C"/>
          <w:sz w:val="20"/>
        </w:rPr>
        <w:t>• Tätigkeitswirkungs-Scorecard</w:t>
      </w:r>
    </w:p>
    <w:p>
      <w:pPr>
        <w:ind w:left="227" w:hanging="142"/>
      </w:pPr>
      <w:r>
        <w:rPr>
          <w:rFonts w:ascii="Source Sans 3" w:hAnsi="Source Sans 3"/>
          <w:color w:val="2E2A2C"/>
          <w:sz w:val="20"/>
        </w:rPr>
        <w:t>• Care- und Gemeinwesen-Wirkungscheck</w:t>
      </w:r>
    </w:p>
    <w:p>
      <w:pPr>
        <w:pStyle w:val="Heading1"/>
      </w:pPr>
      <w:r>
        <w:t>Politische Anschlussfähigkeit und Umsetzungsoptionen</w:t>
      </w:r>
    </w:p>
    <w:p>
      <w:r>
        <w:t>Die folgenden politischen Anforderungen beschreiben keinen fertigen Parteibeschluss. Sie markieren den Rahmen, damit dieses Wirkungsfeld demokratisch, rechtsstaatlich und praktisch umgesetzt werden kann. Unterschiedliche Parteien können innerhalb dieses Rahmens verschiedene Wege wählen. Entscheidend ist, dass Wirkung sichtbar, überprüfbar, korrigierbar und grundrechtskonform bleibt.</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Aufgabe für Politik und Umsetzung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Aufgabe der Politik</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Für Sozialabgaben von menschlicher Arbeit entkoppeln braucht es einen Rahmen, der Sicherheit, Teilhabe und Innovationsfähigkeit schützt, ohne eine einzige politische Ausgestaltung vorzuschreiben.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Politische Rahmenbedingungen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WÖk-IDs, Sozialfinanzierung, Arbeitsrecht, Steuerrecht, Datenschutz, KI-Regeln, Qualifizierung und Fondslogik müssen rechtssicher zusammenführbar sein.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Ausgestaltungsspielraum</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Parteien können unterschiedlich gewichten: Grunddividende, Steuerentlastung, Fondsmodell, Tarifpolitik, Arbeitnehmerrechte, Unternehmensfreiheit, Weiterbildung, regionale Pilotierung.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Zielkonflikte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Innovation vs. Beschäftigungssicherung, Freiheit vs. Absicherung, Datenschutz vs. Wirkungsnachweis, Bürokratiearmut vs. Prüfqualität, Unternehmenstragfähigkeit vs. Sozialfinanzierung.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Rollenverteilung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EU, Bund, Länder, Kommunen, Sozialversicherungsträger, Unternehmen, Gewerkschaften, Wissenschaft, Zivilgesellschaft und Bürger:innen tragen Daten, Standards, Beteiligung, Evaluation und Umsetzung gemeinsam.</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Übergang und 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Pilotregionen, Übergangsfristen, KMU-Schutz, Härtefallregeln, Mitbestimmung, Rechtsbehelfe und Schutz vor Personen-Scoring sichern demokratische Lernfähigkeit.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Evaluation und Korrektur</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Wirkungsberichte, Revisionszyklen, unabhängige Assurance, öffentliche Konsultation und parlamentarische Kontrolle verhindern technokratische Verfestigung.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Parteipolitische Anschlussfähigkeit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Konservative, liberale, sozialdemokratische, grüne, linke, kommunale und wirtschaftsnahe Perspektiven können unterschiedliche Umsetzungsoptionen wählen.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Schutz vor Technokratie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bereiten Entscheidungen vor, ersetzen sie aber nicht. Normative Entscheidungen bleiben demokratisch legitimiert.</w:t>
            </w:r>
          </w:p>
        </w:tc>
      </w:tr>
    </w:tbl>
    <w:p/>
    <w:p>
      <w:pPr>
        <w:pStyle w:val="Heading1"/>
      </w:pPr>
      <w:r>
        <w:t>SDG-/SDG+-Bezug</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Inhalt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SDGs</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SDG 1, SDG 3, SDG 4, SDG 5, SDG 8, SDG 9, SDG 10, SDG 16</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SDG+-Dimensionen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Demokratie, digitale Selbstbestimmung, gesellschaftlicher Zusammenhalt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Wirkungsökonomische Einordnung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 und Einkommen berühren nicht nur SDG 8. Sie beeinflussen Armut, Gesundheit, Bildung, Gleichstellung, Ungleichheit, Innovation, Demokratie, Vertrauen, digitale Selbstbestimmung und gesellschaftlichen Zusammenhalt.</w:t>
            </w:r>
          </w:p>
        </w:tc>
      </w:tr>
    </w:tbl>
    <w:p/>
    <w:p>
      <w:r>
        <w:t>SDG+ ist keine offizielle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Anker im Online-Buch</w:t>
      </w:r>
    </w:p>
    <w:p>
      <w:pPr>
        <w:ind w:left="227" w:hanging="142"/>
      </w:pPr>
      <w:r>
        <w:rPr>
          <w:rFonts w:ascii="Source Sans 3" w:hAnsi="Source Sans 3"/>
          <w:color w:val="2E2A2C"/>
          <w:sz w:val="20"/>
        </w:rPr>
        <w:t>• Kapitel 15 – Leistung neu definieren</w:t>
      </w:r>
    </w:p>
    <w:p>
      <w:pPr>
        <w:ind w:left="227" w:hanging="142"/>
      </w:pPr>
      <w:r>
        <w:rPr>
          <w:rFonts w:ascii="Source Sans 3" w:hAnsi="Source Sans 3"/>
          <w:color w:val="2E2A2C"/>
          <w:sz w:val="20"/>
        </w:rPr>
        <w:t>• Kapitel 23 – Wirkungsrisiko und Wirkungsresilienz</w:t>
      </w:r>
    </w:p>
    <w:p>
      <w:pPr>
        <w:ind w:left="227" w:hanging="142"/>
      </w:pPr>
      <w:r>
        <w:rPr>
          <w:rFonts w:ascii="Source Sans 3" w:hAnsi="Source Sans 3"/>
          <w:color w:val="2E2A2C"/>
          <w:sz w:val="20"/>
        </w:rPr>
        <w:t>• Kapitel 56 – Arbeit, Automatisierung und Maschinenleistung</w:t>
      </w:r>
    </w:p>
    <w:p>
      <w:pPr>
        <w:ind w:left="227" w:hanging="142"/>
      </w:pPr>
      <w:r>
        <w:rPr>
          <w:rFonts w:ascii="Source Sans 3" w:hAnsi="Source Sans 3"/>
          <w:color w:val="2E2A2C"/>
          <w:sz w:val="20"/>
        </w:rPr>
        <w:t>• Kapitel 57 – Wirkungseinkommen</w:t>
      </w:r>
    </w:p>
    <w:p>
      <w:pPr>
        <w:ind w:left="227" w:hanging="142"/>
      </w:pPr>
      <w:r>
        <w:rPr>
          <w:rFonts w:ascii="Source Sans 3" w:hAnsi="Source Sans 3"/>
          <w:color w:val="2E2A2C"/>
          <w:sz w:val="20"/>
        </w:rPr>
        <w:t>• Kapitel 58 – Wirkungsrente</w:t>
      </w:r>
    </w:p>
    <w:p>
      <w:pPr>
        <w:ind w:left="227" w:hanging="142"/>
      </w:pPr>
      <w:r>
        <w:rPr>
          <w:rFonts w:ascii="Source Sans 3" w:hAnsi="Source Sans 3"/>
          <w:color w:val="2E2A2C"/>
          <w:sz w:val="20"/>
        </w:rPr>
        <w:t>• Kapitel 37/38 – Wirkungssteuergesetz und WUStG</w:t>
      </w:r>
    </w:p>
    <w:p>
      <w:pPr>
        <w:ind w:left="227" w:hanging="142"/>
      </w:pPr>
      <w:r>
        <w:rPr>
          <w:rFonts w:ascii="Source Sans 3" w:hAnsi="Source Sans 3"/>
          <w:color w:val="2E2A2C"/>
          <w:sz w:val="20"/>
        </w:rPr>
        <w:t>• Kapitel 42–47 – Unternehmen als Wirkungssysteme und Wirkungscontrolling</w:t>
      </w:r>
    </w:p>
    <w:p>
      <w:pPr>
        <w:ind w:left="227" w:hanging="142"/>
      </w:pPr>
      <w:r>
        <w:rPr>
          <w:rFonts w:ascii="Source Sans 3" w:hAnsi="Source Sans 3"/>
          <w:color w:val="2E2A2C"/>
          <w:sz w:val="20"/>
        </w:rPr>
        <w:t>• Exkurs SDGs/SDG+ als Referenzrahmen</w:t>
      </w:r>
    </w:p>
    <w:p>
      <w:pPr>
        <w:pStyle w:val="Heading1"/>
      </w:pPr>
      <w:r>
        <w:t>Quellen und Anschlussstellen</w:t>
      </w:r>
    </w:p>
    <w:p>
      <w:r>
        <w:rPr>
          <w:color w:val="2E7D5C"/>
        </w:rPr>
        <w:t xml:space="preserve">• </w:t>
      </w:r>
      <w:r>
        <w:rPr>
          <w:b/>
        </w:rPr>
        <w:t>Natalie Weber: Die neue Ordnung des Wohlstands, Kap. 56 Arbeit, Automatisierung und Maschinenleistung; Kap. 57 Wirkungseinkommen; Kap. 58 Wirkungsrente.</w:t>
      </w:r>
      <w:r>
        <w:t xml:space="preserve"> – Interne WÖk-Grundlage</w:t>
      </w:r>
    </w:p>
    <w:p>
      <w:r>
        <w:rPr>
          <w:color w:val="2E7D5C"/>
        </w:rPr>
        <w:t xml:space="preserve">• </w:t>
      </w:r>
      <w:r>
        <w:rPr>
          <w:b/>
        </w:rPr>
        <w:t>Natalie Weber: Wenn Maschinen arbeiten. Warum wir ein neues System brauchen, 2025.</w:t>
      </w:r>
      <w:r>
        <w:t xml:space="preserve"> – Interne WÖk-Grundlage</w:t>
      </w:r>
    </w:p>
    <w:p>
      <w:r>
        <w:rPr>
          <w:color w:val="2E7D5C"/>
        </w:rPr>
        <w:t xml:space="preserve">• </w:t>
      </w:r>
      <w:r>
        <w:rPr>
          <w:b/>
        </w:rPr>
        <w:t>Natalie Weber: Arbeitspapier Wirkungseinkommensteuer (WEstG), 2025.</w:t>
      </w:r>
      <w:r>
        <w:t xml:space="preserve"> – Interne WÖk-Grundlage</w:t>
      </w:r>
    </w:p>
    <w:p>
      <w:r>
        <w:rPr>
          <w:color w:val="2E7D5C"/>
        </w:rPr>
        <w:t xml:space="preserve">• </w:t>
      </w:r>
      <w:r>
        <w:rPr>
          <w:b/>
        </w:rPr>
        <w:t>OECD Employment Outlook 2023: Artificial Intelligence and the Labour Market.</w:t>
      </w:r>
      <w:r>
        <w:t xml:space="preserve"> – https://www.oecd.org/en/publications/oecd-employment-outlook-2023_08785bba-en.html</w:t>
      </w:r>
    </w:p>
    <w:p>
      <w:r>
        <w:rPr>
          <w:color w:val="2E7D5C"/>
        </w:rPr>
        <w:t xml:space="preserve">• </w:t>
      </w:r>
      <w:r>
        <w:rPr>
          <w:b/>
        </w:rPr>
        <w:t>ILO: Generative AI and Jobs. A global analysis / refined global index of occupational exposure.</w:t>
      </w:r>
      <w:r>
        <w:t xml:space="preserve"> – https://www.ilo.org/publications/generative-ai-and-jobs-refined-global-index-occupational-exposure</w:t>
      </w:r>
    </w:p>
    <w:p>
      <w:r>
        <w:rPr>
          <w:color w:val="2E7D5C"/>
        </w:rPr>
        <w:t xml:space="preserve">• </w:t>
      </w:r>
      <w:r>
        <w:rPr>
          <w:b/>
        </w:rPr>
        <w:t>EU Artificial Intelligence Act – official application timeline.</w:t>
      </w:r>
      <w:r>
        <w:t xml:space="preserve"> – https://digital-strategy.ec.europa.eu/en/policies/regulatory-framework-ai</w:t>
      </w:r>
    </w:p>
    <w:p>
      <w:r>
        <w:rPr>
          <w:color w:val="2E7D5C"/>
        </w:rPr>
        <w:t xml:space="preserve">• </w:t>
      </w:r>
      <w:r>
        <w:rPr>
          <w:b/>
        </w:rPr>
        <w:t>Bundesregierung / BMAS: Sozialversicherungsrechengrößen 2026.</w:t>
      </w:r>
      <w:r>
        <w:t xml:space="preserve"> – https://www.bmas.de/DE/Service/Presse/Pressemitteilungen/2025/sozialversicherungsrechengroessen-2026.html</w:t>
      </w:r>
    </w:p>
    <w:p>
      <w:r>
        <w:rPr>
          <w:color w:val="2E7D5C"/>
        </w:rPr>
        <w:t xml:space="preserve">• </w:t>
      </w:r>
      <w:r>
        <w:rPr>
          <w:b/>
        </w:rPr>
        <w:t>Deutsche Rentenversicherung: Beitragssatz der gesetzlichen Rentenversicherung 2026.</w:t>
      </w:r>
      <w:r>
        <w:t xml:space="preserve"> – https://www.deutsche-rentenversicherung.de/</w:t>
      </w:r>
    </w:p>
    <w:p>
      <w:r>
        <w:rPr>
          <w:color w:val="2E7D5C"/>
        </w:rPr>
        <w:t xml:space="preserve">• </w:t>
      </w:r>
      <w:r>
        <w:rPr>
          <w:b/>
        </w:rPr>
        <w:t>UN Sustainable Development Goals und Global Indicator Framework.</w:t>
      </w:r>
      <w:r>
        <w:t xml:space="preserve"> – https://sdgs.un.org/goals</w:t>
      </w:r>
    </w:p>
    <w:sectPr w:rsidR="00FC693F" w:rsidRPr="0006063C" w:rsidSect="00034616">
      <w:footerReference w:type="default" r:id="rId9"/>
      <w:pgSz w:w="12240" w:h="15840"/>
      <w:pgMar w:top="1020" w:right="1191" w:bottom="90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66666"/>
        <w:sz w:val="16"/>
      </w:rPr>
      <w:t>Wirkungsökonomie | Natalie Weber | Arbeitsfassung | Wirkung statt Kapital. Für Mensch, Planet und Demokratie.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b/>
      <w:bCs/>
      <w:color w:val="09102A"/>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b/>
      <w:bCs/>
      <w:color w:val="09102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2E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Source Sans 3" w:hAnsi="Source Sans 3"/>
      <w:b/>
      <w:bCs/>
      <w:i/>
      <w:iCs/>
      <w:color w:val="C8983C"/>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b/>
      <w:color w:val="09102A"/>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