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Einzeldossier: Übergang, Qualifizierung und Resilienz</w:t>
      </w:r>
    </w:p>
    <w:p>
      <w:r>
        <w:rPr>
          <w:rFonts w:ascii="Source Sans 3" w:hAnsi="Source Sans 3"/>
          <w:b/>
          <w:color w:val="2E7D5C"/>
          <w:sz w:val="28"/>
        </w:rPr>
        <w:t>Beispiele, Datenquellen und Umsetzungslogik – Übergang, Qualifizierung und Resilienz</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Kurzfassung</w:t>
      </w:r>
    </w:p>
    <w:p>
      <w:r>
        <w:t>Dieses Einzeldossier macht das Detailkonzept „Übergang, Qualifizierung und Resilienz“ praktisch anschlussfähig. Es enthält Beispielrechnungen, Datenquellen, Annahmen, mögliche Indikatoren, Risiken, politische Optionen und Tool-Bezug.</w:t>
      </w:r>
    </w:p>
    <w:p>
      <w:pPr>
        <w:pStyle w:val="Heading1"/>
      </w:pPr>
      <w:r>
        <w:t>Datenquellen und Indikatorfamilien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Datenfeld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Mögliche Quellen und 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Arbeitsmarkt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Beschäftigung, Löhne, Berufsgruppen, Aufgabenprofile, Arbeitszeit, Erwerbsquote, Unterbeschäftigung, Qualifikationsstruktur.</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Automatisierung/KI</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Tätigkeitsexposition gegenüber KI, Robotik- und Softwareeinsatz, Produktivitätsgewinne, Substitution/Komplementarität.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Sozialfinanzierung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Lohnsumme, Arbeitgeber- und Arbeitnehmerbeiträge, Wertschöpfung, Kapitalerträge, Unternehmensgewinne, Fondsrückflüsse.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WÖk-IDs für Arbeit, Bildung, Gesundheit, Gleichstellung, Innovation, Demokratie, digitale Selbstbestimmung und soziale Kohäsion.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amtliche Daten, geprüfte Unternehmensdaten, CSRD/ESRS, Tarif-/Sozialdaten, Modellannahmen, Selbstauskünfte mit Assurance-Stufe.</w:t>
            </w:r>
          </w:p>
        </w:tc>
      </w:tr>
    </w:tbl>
    <w:p/>
    <w:p>
      <w:pPr>
        <w:pStyle w:val="Heading1"/>
      </w:pPr>
      <w:r>
        <w:t>Beispielhafte Scorecard</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Wirkungsfeld</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Beispielhafte Bewertung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Sicherheit und Grundversorgung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Existenzsicherung, Qualifizierung und Übergangsschutz gestärkt werden; -2 wenn Ausschluss und Prekarität wachsen.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Wirkleistung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+3 bei hoher Wirkung auf Care, Bildung, Gesundheit, Demokratie oder Regeneration; 0 bei neutraler Tätigkeit; -3 bei nachweislich destruktiver Systemwirkung.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 und Grundrechtsschutz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transparenter, minimierter und rechtsschutzfähiger Datennutzung; -3 bei Überwachung, Manipulation oder Personen-Scoring.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Resilienz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wenn Regionen, Sozialstaat und Unternehmen resilienter werden; -2 wenn Abhängigkeiten und Systemrisiken steigen.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Transformationsfähigkeit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+2 bei Weiterbildung, Mitbestimmung und Technologiezugang; -2 bei Entwertung ohne Ausgleich.</w:t>
            </w:r>
          </w:p>
        </w:tc>
      </w:tr>
    </w:tbl>
    <w:p/>
    <w:p>
      <w:pPr>
        <w:pStyle w:val="Heading1"/>
      </w:pPr>
      <w:r>
        <w:t>Modellrechnung</w:t>
      </w:r>
    </w:p>
    <w:p>
      <w:r>
        <w:t>Die folgende Modellrechnung ist bewusst einfach gehalten. Sie dient der öffentlichen Nachvollziehbarkeit und ist nicht als amtliche Berechnung zu verstehen.</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Rechenelement</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Bedeutung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1</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Markteinkommen oder automatisierungsbedingter Wertschöpfungszuwachs</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2</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Tätigkeits- oder Organisationsscore von -3 bis +3</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3</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Datenqualitätsfaktor 0,5 bis 1,0</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Eingabe 4</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Sozial-/Transformationsbedarf je Region oder Branche</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Ausgabe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Wirkungsbonus, Wirkungsabzug, Fondsbeitrag oder Übergangsanspruch</w:t>
            </w:r>
          </w:p>
        </w:tc>
      </w:tr>
    </w:tbl>
    <w:p/>
    <w:p>
      <w:pPr>
        <w:pStyle w:val="Heading1"/>
      </w:pPr>
      <w:r>
        <w:t>Risiken und Schutzmechanismen</w:t>
      </w:r>
    </w:p>
    <w:p>
      <w:pPr>
        <w:ind w:left="227" w:hanging="142"/>
      </w:pPr>
      <w:r>
        <w:rPr>
          <w:rFonts w:ascii="Source Sans 3" w:hAnsi="Source Sans 3"/>
          <w:color w:val="2E2A2C"/>
          <w:sz w:val="20"/>
        </w:rPr>
        <w:t>• Kein Personen-Scoring: Bewertet werden Tätigkeits-, Projekt-, Organisations- und Systemkontexte, nicht der menschliche Wert einer Person.</w:t>
      </w:r>
    </w:p>
    <w:p>
      <w:pPr>
        <w:ind w:left="227" w:hanging="142"/>
      </w:pPr>
      <w:r>
        <w:rPr>
          <w:rFonts w:ascii="Source Sans 3" w:hAnsi="Source Sans 3"/>
          <w:color w:val="2E2A2C"/>
          <w:sz w:val="20"/>
        </w:rPr>
        <w:t>• Datensparsamkeit: So viele Daten wie nötig, so wenige personenbezogene Daten wie möglich.</w:t>
      </w:r>
    </w:p>
    <w:p>
      <w:pPr>
        <w:ind w:left="227" w:hanging="142"/>
      </w:pPr>
      <w:r>
        <w:rPr>
          <w:rFonts w:ascii="Source Sans 3" w:hAnsi="Source Sans 3"/>
          <w:color w:val="2E2A2C"/>
          <w:sz w:val="20"/>
        </w:rPr>
        <w:t>• Rechtsschutz: Jede belastende Einstufung braucht Einspruchs- und Korrekturwege.</w:t>
      </w:r>
    </w:p>
    <w:p>
      <w:pPr>
        <w:ind w:left="227" w:hanging="142"/>
      </w:pPr>
      <w:r>
        <w:rPr>
          <w:rFonts w:ascii="Source Sans 3" w:hAnsi="Source Sans 3"/>
          <w:color w:val="2E2A2C"/>
          <w:sz w:val="20"/>
        </w:rPr>
        <w:t>• KMU- und Bürger:innen-Schutz: Keine Überforderung durch Berichtspflichten; standardisierte, einfache Einstiegsversionen.</w:t>
      </w:r>
    </w:p>
    <w:p>
      <w:pPr>
        <w:ind w:left="227" w:hanging="142"/>
      </w:pPr>
      <w:r>
        <w:rPr>
          <w:rFonts w:ascii="Source Sans 3" w:hAnsi="Source Sans 3"/>
          <w:color w:val="2E2A2C"/>
          <w:sz w:val="20"/>
        </w:rPr>
        <w:t>• Demokratische Kontrolle: Wirkungsrat, Parlament, Sozialpartner und Öffentlichkeit prüfen Methodik und Nebenwirkungen.</w:t>
      </w:r>
    </w:p>
    <w:p>
      <w:pPr>
        <w:pStyle w:val="Heading1"/>
      </w:pPr>
      <w:r>
        <w:t>Tool-Bezug</w:t>
      </w:r>
    </w:p>
    <w:p>
      <w:pPr>
        <w:ind w:left="227" w:hanging="142"/>
      </w:pPr>
      <w:r>
        <w:rPr>
          <w:rFonts w:ascii="Source Sans 3" w:hAnsi="Source Sans 3"/>
          <w:color w:val="2E2A2C"/>
          <w:sz w:val="20"/>
        </w:rPr>
        <w:t>• Wirkungseinkommen-Simulator</w:t>
      </w:r>
    </w:p>
    <w:p>
      <w:pPr>
        <w:ind w:left="227" w:hanging="142"/>
      </w:pPr>
      <w:r>
        <w:rPr>
          <w:rFonts w:ascii="Source Sans 3" w:hAnsi="Source Sans 3"/>
          <w:color w:val="2E2A2C"/>
          <w:sz w:val="20"/>
        </w:rPr>
        <w:t>• Automatisierungsdividenden-Rechner</w:t>
      </w:r>
    </w:p>
    <w:p>
      <w:pPr>
        <w:ind w:left="227" w:hanging="142"/>
      </w:pPr>
      <w:r>
        <w:rPr>
          <w:rFonts w:ascii="Source Sans 3" w:hAnsi="Source Sans 3"/>
          <w:color w:val="2E2A2C"/>
          <w:sz w:val="20"/>
        </w:rPr>
        <w:t>• Sozialabgaben-Entkopplungsrechner</w:t>
      </w:r>
    </w:p>
    <w:p>
      <w:pPr>
        <w:ind w:left="227" w:hanging="142"/>
      </w:pPr>
      <w:r>
        <w:rPr>
          <w:rFonts w:ascii="Source Sans 3" w:hAnsi="Source Sans 3"/>
          <w:color w:val="2E2A2C"/>
          <w:sz w:val="20"/>
        </w:rPr>
        <w:t>• Tätigkeitswirkungs-Scorecard</w:t>
      </w:r>
    </w:p>
    <w:p>
      <w:pPr>
        <w:ind w:left="227" w:hanging="142"/>
      </w:pPr>
      <w:r>
        <w:rPr>
          <w:rFonts w:ascii="Source Sans 3" w:hAnsi="Source Sans 3"/>
          <w:color w:val="2E2A2C"/>
          <w:sz w:val="20"/>
        </w:rPr>
        <w:t>• Care- und Gemeinwesen-Wirkungscheck</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Übergang, Qualifizierung und Resilienz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