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Wirkungseinkommen</w:t>
      </w:r>
    </w:p>
    <w:p>
      <w:r>
        <w:rPr>
          <w:rFonts w:ascii="Source Sans 3" w:hAnsi="Source Sans 3"/>
          <w:b/>
          <w:color w:val="2E7D5C"/>
          <w:sz w:val="28"/>
        </w:rPr>
        <w:t>Beispiele, Datenquellen und Umsetzungslogik – Wirkungseinkommen</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„Wirkungseinkommen“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Wirkungseinkommen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