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B1026"/>
          <w:sz w:val="28"/>
        </w:rPr>
        <w:t>WIRKUNGSÖKONOMIE</w:t>
      </w:r>
    </w:p>
    <w:p>
      <w:pPr>
        <w:jc w:val="center"/>
      </w:pPr>
      <w:r>
        <w:rPr>
          <w:rFonts w:ascii="Arial" w:hAnsi="Arial"/>
          <w:color w:val="C89B3C"/>
          <w:sz w:val="16"/>
        </w:rPr>
        <w:t>FÜR MENSCH, PLANET UND DEMOKRATIE</w:t>
      </w:r>
    </w:p>
    <w:p/>
    <w:p>
      <w:pPr>
        <w:jc w:val="center"/>
      </w:pPr>
      <w:r>
        <w:rPr>
          <w:rFonts w:ascii="Georgia" w:hAnsi="Georgia"/>
          <w:b/>
          <w:color w:val="0B1026"/>
          <w:sz w:val="54"/>
        </w:rPr>
        <w:t>Finanzsystem &amp; Kapital</w:t>
      </w:r>
    </w:p>
    <w:p>
      <w:pPr>
        <w:jc w:val="center"/>
      </w:pPr>
      <w:r>
        <w:rPr>
          <w:rFonts w:ascii="Arial" w:hAnsi="Arial"/>
          <w:color w:val="2E342C"/>
          <w:sz w:val="26"/>
        </w:rPr>
        <w:t>Umfangreiche Detailkonzepte zu Kapitalwirkung, Wirkungsfonds, Banken, Versicherungen, Steuern und Aufsicht</w:t>
      </w:r>
    </w:p>
    <w:p/>
    <w:tbl>
      <w:tblPr>
        <w:tblW w:type="auto" w:w="0"/>
        <w:jc w:val="center"/>
        <w:tblLook w:firstColumn="1" w:firstRow="1" w:lastColumn="0" w:lastRow="0" w:noHBand="0" w:noVBand="1" w:val="04A0"/>
      </w:tblPr>
      <w:tblGrid>
        <w:gridCol w:w="5040"/>
        <w:gridCol w:w="5040"/>
      </w:tblGrid>
      <w:tr>
        <w:tc>
          <w:tcPr>
            <w:tcW w:type="dxa" w:w="5040"/>
            <w:tcBorders>
              <w:top w:val="single" w:sz="4" w:color="D8D1C4"/>
              <w:left w:val="single" w:sz="4" w:color="D8D1C4"/>
              <w:bottom w:val="single" w:sz="4" w:color="D8D1C4"/>
              <w:right w:val="single" w:sz="4" w:color="D8D1C4"/>
            </w:tcBorders>
            <w:vAlign w:val="center"/>
            <w:shd w:fill="F6F1E8"/>
          </w:tcPr>
          <w:p>
            <w:r>
              <w:t>Autorin</w:t>
            </w:r>
          </w:p>
        </w:tc>
        <w:tc>
          <w:tcPr>
            <w:tcW w:type="dxa" w:w="5040"/>
            <w:tcBorders>
              <w:top w:val="single" w:sz="4" w:color="D8D1C4"/>
              <w:left w:val="single" w:sz="4" w:color="D8D1C4"/>
              <w:bottom w:val="single" w:sz="4" w:color="D8D1C4"/>
              <w:right w:val="single" w:sz="4" w:color="D8D1C4"/>
            </w:tcBorders>
            <w:vAlign w:val="center"/>
          </w:tcPr>
          <w:p>
            <w:r>
              <w:t>Natalie Weber</w:t>
            </w:r>
          </w:p>
        </w:tc>
      </w:tr>
      <w:tr>
        <w:tc>
          <w:tcPr>
            <w:tcW w:type="dxa" w:w="5040"/>
            <w:tcBorders>
              <w:top w:val="single" w:sz="4" w:color="D8D1C4"/>
              <w:left w:val="single" w:sz="4" w:color="D8D1C4"/>
              <w:bottom w:val="single" w:sz="4" w:color="D8D1C4"/>
              <w:right w:val="single" w:sz="4" w:color="D8D1C4"/>
            </w:tcBorders>
            <w:vAlign w:val="center"/>
            <w:shd w:fill="F6F1E8"/>
          </w:tcPr>
          <w:p>
            <w:r>
              <w:t>Referenz</w:t>
            </w:r>
          </w:p>
        </w:tc>
        <w:tc>
          <w:tcPr>
            <w:tcW w:type="dxa" w:w="5040"/>
            <w:tcBorders>
              <w:top w:val="single" w:sz="4" w:color="D8D1C4"/>
              <w:left w:val="single" w:sz="4" w:color="D8D1C4"/>
              <w:bottom w:val="single" w:sz="4" w:color="D8D1C4"/>
              <w:right w:val="single" w:sz="4" w:color="D8D1C4"/>
            </w:tcBorders>
            <w:vAlign w:val="center"/>
          </w:tcPr>
          <w:p>
            <w:r>
              <w:t>Wirkungsökonomie</w:t>
            </w:r>
          </w:p>
        </w:tc>
      </w:tr>
      <w:tr>
        <w:tc>
          <w:tcPr>
            <w:tcW w:type="dxa" w:w="5040"/>
            <w:tcBorders>
              <w:top w:val="single" w:sz="4" w:color="D8D1C4"/>
              <w:left w:val="single" w:sz="4" w:color="D8D1C4"/>
              <w:bottom w:val="single" w:sz="4" w:color="D8D1C4"/>
              <w:right w:val="single" w:sz="4" w:color="D8D1C4"/>
            </w:tcBorders>
            <w:vAlign w:val="center"/>
            <w:shd w:fill="F6F1E8"/>
          </w:tcPr>
          <w:p>
            <w:r>
              <w:t>Version</w:t>
            </w:r>
          </w:p>
        </w:tc>
        <w:tc>
          <w:tcPr>
            <w:tcW w:type="dxa" w:w="5040"/>
            <w:tcBorders>
              <w:top w:val="single" w:sz="4" w:color="D8D1C4"/>
              <w:left w:val="single" w:sz="4" w:color="D8D1C4"/>
              <w:bottom w:val="single" w:sz="4" w:color="D8D1C4"/>
              <w:right w:val="single" w:sz="4" w:color="D8D1C4"/>
            </w:tcBorders>
            <w:vAlign w:val="center"/>
          </w:tcPr>
          <w:p>
            <w:r>
              <w:t>v0.1</w:t>
            </w:r>
          </w:p>
        </w:tc>
      </w:tr>
      <w:tr>
        <w:tc>
          <w:tcPr>
            <w:tcW w:type="dxa" w:w="5040"/>
            <w:tcBorders>
              <w:top w:val="single" w:sz="4" w:color="D8D1C4"/>
              <w:left w:val="single" w:sz="4" w:color="D8D1C4"/>
              <w:bottom w:val="single" w:sz="4" w:color="D8D1C4"/>
              <w:right w:val="single" w:sz="4" w:color="D8D1C4"/>
            </w:tcBorders>
            <w:vAlign w:val="center"/>
            <w:shd w:fill="F6F1E8"/>
          </w:tcPr>
          <w:p>
            <w:r>
              <w:t>Status</w:t>
            </w:r>
          </w:p>
        </w:tc>
        <w:tc>
          <w:tcPr>
            <w:tcW w:type="dxa" w:w="5040"/>
            <w:tcBorders>
              <w:top w:val="single" w:sz="4" w:color="D8D1C4"/>
              <w:left w:val="single" w:sz="4" w:color="D8D1C4"/>
              <w:bottom w:val="single" w:sz="4" w:color="D8D1C4"/>
              <w:right w:val="single" w:sz="4" w:color="D8D1C4"/>
            </w:tcBorders>
            <w:vAlign w:val="center"/>
          </w:tcPr>
          <w:p>
            <w:r>
              <w:t>Detailkonzept-Set · Diskussionsfassung</w:t>
            </w:r>
          </w:p>
        </w:tc>
      </w:tr>
      <w:tr>
        <w:tc>
          <w:tcPr>
            <w:tcW w:type="dxa" w:w="5040"/>
            <w:tcBorders>
              <w:top w:val="single" w:sz="4" w:color="D8D1C4"/>
              <w:left w:val="single" w:sz="4" w:color="D8D1C4"/>
              <w:bottom w:val="single" w:sz="4" w:color="D8D1C4"/>
              <w:right w:val="single" w:sz="4" w:color="D8D1C4"/>
            </w:tcBorders>
            <w:vAlign w:val="center"/>
            <w:shd w:fill="F6F1E8"/>
          </w:tcPr>
          <w:p>
            <w:r>
              <w:t>Stand</w:t>
            </w:r>
          </w:p>
        </w:tc>
        <w:tc>
          <w:tcPr>
            <w:tcW w:type="dxa" w:w="5040"/>
            <w:tcBorders>
              <w:top w:val="single" w:sz="4" w:color="D8D1C4"/>
              <w:left w:val="single" w:sz="4" w:color="D8D1C4"/>
              <w:bottom w:val="single" w:sz="4" w:color="D8D1C4"/>
              <w:right w:val="single" w:sz="4" w:color="D8D1C4"/>
            </w:tcBorders>
            <w:vAlign w:val="center"/>
          </w:tcPr>
          <w:p>
            <w:r>
              <w:t>Mai 2026</w:t>
            </w:r>
          </w:p>
        </w:tc>
      </w:tr>
    </w:tbl>
    <w:p>
      <w:r>
        <w:br w:type="page"/>
      </w:r>
    </w:p>
    <w:p>
      <w:pPr>
        <w:pStyle w:val="Heading1"/>
      </w:pPr>
      <w:r>
        <w:t>Vorbemerkung</w:t>
      </w:r>
    </w:p>
    <w:p>
      <w:r>
        <w:t>Dieses Dokument bündelt die Detailkonzepte des Wirkungsfeldes Finanzsystem &amp; Kapital. Jedes Kapitel ist als eigenständige Online-Unterseite und Downloadfassung vorgesehen. Es enthält keine internen Umsetzungsanweisungen.</w:t>
      </w:r>
    </w:p>
    <w:p>
      <w:pPr>
        <w:pStyle w:val="Heading1"/>
      </w:pPr>
      <w:r>
        <w:t>1. Kapital als Wirkungskraft</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Kapital wird vom Machtmittel zur öffentlichen Wirkungskraft. Es dient Regeneration, Innovation, sozialer Stabilität, Demokratie und Resilienz.</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2. Kapitalwirkung statt Kapitalrendite</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Kapitalrendite fragt nach finanzieller Rückkehr. Kapitalwirkung fragt, welche Zustandsveränderung durch den Kapitaleinsatz entsteht.</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3. Portfolio-Wirkungsrating und Kapitalwirkungsindex</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Portfolios werden nicht nur nach Risiko/Rendite gestreut, sondern nach positiver Netto-Wirkung, roten Linien, Transformation und Resilienz geprüft.</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4. Banken, Wirkungskredite und EBA-Anschluss</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Banken werden von Sicherheitenlogik zu Zukunftsfinanzierern weiterentwickelt. Die EBA-ESG-Risikoanforderungen sind ein realer Anschluss.</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5. Versicherungen, Versicherbarkeit und Resilienz</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Versicherbarkeit wird zu einem Wirkungsindikator. Risiken, die private Märkte nicht mehr tragen können, zeigen Systemgrenzen.</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6. ESG-Ratings, Börsen und Impact Exchange</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ESG-Ratings zeigen Risiken, aber nicht automatisch Wirkung. Wirkungskapitalmärkte brauchen Transparenz, Vergleichbarkeit und Schutz vor Wirkungssimulation.</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7. Wirkungsfonds als Dacharchitektur</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Wirkungsfonds finanzieren Prävention, Transformation, Resilienz, soziale Entlastung und Zukunftsinfrastruktur, bevor sie sich im alten System rechnen.</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8. Bürger:innenfonds, Wirkungsrente und Teilhabe am Kapital</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Kapitalzugang wird demokratisiert. Bürger:innenfonds verbinden sichere Altersvorsorge, Wirkungsrendite und Beteiligung an Zukunftsinfrastruktur.</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9. Steuer- und Abgabenarchitektur des Kapitals</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Wirkungskörperschaftsteuer, Wirkungsgewerbesteuer, Vermögens- und Erbschaftslogik, WUStG, WEstG und Kapitalwirkungsaufschläge werden systemisch verknüpft.</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10. Automatisierungsdividende und Maschinenwertschöpfung</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Produktivitätsgewinne aus KI, Robotik und autonomen Systemen werden nicht gegen Innovation gewendet, sondern sozial rückgekoppelt.</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11. Wirkungsaufsicht, Kapitalmissbrauch und toxische Finanzprodukte</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Finanzaufsicht wird um Wirkungsrisiko, algorithmische Kapitalentscheidungen, Oligarchienetzwerke und demokratiegefährdende Finanzprodukte erweitert.</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12. Finanzkompetenz 2.0 und demokratische Kontrolle</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Kurzthese</w:t>
            </w:r>
          </w:p>
          <w:p>
            <w:pPr>
              <w:spacing w:after="60"/>
            </w:pPr>
            <w:r>
              <w:t>Bürger:innen, Analyst:innen, Banken, Fonds und Aufsicht brauchen Wirkungskompetenz, Systemdenken, Datenkompetenz und KI-Finanzethik.</w:t>
            </w:r>
          </w:p>
        </w:tc>
      </w:tr>
    </w:tbl>
    <w:p>
      <w:pPr>
        <w:pStyle w:val="Heading2"/>
      </w:pPr>
      <w:r>
        <w:t>1. Problem der alten Logik</w:t>
      </w:r>
    </w:p>
    <w:p>
      <w:r>
        <w:t>Die alte Finanzlogik bewertet Kapital primär über Rendite, Risiko, Liquidität und Verwertbarkeit. Dadurch können Kapitalflüsse kurzfristig erfolgreich erscheinen, obwohl sie langfristig ökologische, soziale, demokratische oder gesundheitliche Schäden erzeugen. Diese Schäden tauchen im Finanzmodell häufig erst auf, wenn sie zu Haftung, Regulierung, Reputationsverlust, Versicherungsrisiken oder Stranded Assets werden.</w:t>
      </w:r>
    </w:p>
    <w:p>
      <w:pPr>
        <w:pStyle w:val="Heading2"/>
      </w:pPr>
      <w:r>
        <w:t>2. Wirkungsökonomischer Perspektivwechsel</w:t>
      </w:r>
    </w:p>
    <w:p>
      <w:r>
        <w:t>Die Wirkungsökonomie liest Kapital als Wirkungsträger. Kapital ist nicht nur eine Bilanzgröße, sondern eine Entscheidung über Wirkungsräume. Es erzeugt unmittelbare, mittelbare und systemische Effekte: auf Lieferketten, Arbeitsplätze, Infrastruktur, Demokratie, Medien, Wohnen, Gesundheit, Klima und Innovation. Deshalb muss Kapital nicht nur finanziell, sondern wirkungslogisch geprüft werden.</w:t>
      </w:r>
    </w:p>
    <w:p>
      <w:pPr>
        <w:pStyle w:val="Heading2"/>
      </w:pPr>
      <w:r>
        <w:t>3. Systemarchitektur</w:t>
      </w:r>
    </w:p>
    <w:p>
      <w:pPr>
        <w:pStyle w:val="ListNumber"/>
      </w:pPr>
      <w:r>
        <w:t>Wirkungsdaten erfassen: WÖk-IDs, SDGs, SDG+, CSRD/ESRS, Taxonomie, Lieferketten- und Versicherungsdaten.</w:t>
      </w:r>
    </w:p>
    <w:p>
      <w:pPr>
        <w:pStyle w:val="ListNumber"/>
      </w:pPr>
      <w:r>
        <w:t>Wirkung bewerten: NWI, Scorecard, rote Linien, Reverse Merit Order, T-SROI, Transformationspfad.</w:t>
      </w:r>
    </w:p>
    <w:p>
      <w:pPr>
        <w:pStyle w:val="ListNumber"/>
      </w:pPr>
      <w:r>
        <w:t>Kapital rückkoppeln: Zinsen, Eigenkapital, Versicherbarkeit, Fondsfähigkeit, Steuerwirkung und öffentliche Beschaffung anpassen.</w:t>
      </w:r>
    </w:p>
    <w:p>
      <w:pPr>
        <w:pStyle w:val="ListNumber"/>
      </w:pPr>
      <w:r>
        <w:t>Lernen und korrigieren: Wirkungsberichte, Stresstests, demokratische Aufsicht, Datenqualität, Revisionszyklen und Rechtsschutz.</w:t>
      </w:r>
    </w:p>
    <w:p>
      <w:pPr>
        <w:pStyle w:val="Heading2"/>
      </w:pPr>
      <w:r>
        <w:t>4. Daten und Indikatoren</w:t>
      </w:r>
    </w:p>
    <w:p>
      <w:r>
        <w:t>Relevante Daten sind abhängig vom Unterbereich. Grundsätzlich werden Datenquellen nach Qualität, Zweckbindung, Prüfbarkeit und Wirkungsmacht unterschieden. Für große Kapitalströme gelten strengere Anforderungen als für kleinere Vorhaben. Ziel ist nicht maximale Bürokratie, sondern eine proportionale Datenlogik: so präzise wie nötig, so einfach wie möglich.</w:t>
      </w:r>
    </w:p>
    <w:p>
      <w:pPr>
        <w:pStyle w:val="Heading2"/>
      </w:pPr>
      <w:r>
        <w:t>5. Werkzeuge</w:t>
      </w:r>
    </w:p>
    <w:p>
      <w:pPr>
        <w:pStyle w:val="ListBullet"/>
      </w:pPr>
      <w:r>
        <w:t>Kapitalwirkungsindex</w:t>
      </w:r>
    </w:p>
    <w:p>
      <w:pPr>
        <w:pStyle w:val="ListBullet"/>
      </w:pPr>
      <w:r>
        <w:t>Portfolio-Wirkungsrating</w:t>
      </w:r>
    </w:p>
    <w:p>
      <w:pPr>
        <w:pStyle w:val="ListBullet"/>
      </w:pPr>
      <w:r>
        <w:t>NWI</w:t>
      </w:r>
    </w:p>
    <w:p>
      <w:pPr>
        <w:pStyle w:val="ListBullet"/>
      </w:pPr>
      <w:r>
        <w:t>T-SROI</w:t>
      </w:r>
    </w:p>
    <w:p>
      <w:pPr>
        <w:pStyle w:val="ListBullet"/>
      </w:pPr>
      <w:r>
        <w:t>Reverse Merit Order</w:t>
      </w:r>
    </w:p>
    <w:p>
      <w:pPr>
        <w:pStyle w:val="ListBullet"/>
      </w:pPr>
      <w:r>
        <w:t>WÖk-IDs</w:t>
      </w:r>
    </w:p>
    <w:p>
      <w:pPr>
        <w:pStyle w:val="ListBullet"/>
      </w:pPr>
      <w:r>
        <w:t>Wirkungsfonds-Simulator</w:t>
      </w:r>
    </w:p>
    <w:p>
      <w:pPr>
        <w:pStyle w:val="ListBullet"/>
      </w:pPr>
      <w:r>
        <w:t>Kredit- und Versicherbarkeitscheck</w:t>
      </w:r>
    </w:p>
    <w:p>
      <w:pPr>
        <w:pStyle w:val="ListBullet"/>
      </w:pPr>
      <w:r>
        <w:t>Wirkungsdatenraum</w:t>
      </w:r>
    </w:p>
    <w:p>
      <w:pPr>
        <w:pStyle w:val="Heading2"/>
      </w:pPr>
      <w:r>
        <w:t>6. Steuer- und Fondsbezug</w:t>
      </w:r>
    </w:p>
    <w:p>
      <w:r>
        <w:t>Dieser Unterbereich ist mit WStG, WUStG, WEstG, Wirkungskörperschaftsteuer, Wirkungsgewerbesteuer, Kapitalwirkungsaufschlägen, wirkungsgebundener Vermögen-/Erbschaftslogik, Wirkungsfonds, Bürger:innenfonds und Automatisierungsdividende zu verknüpfen. Welche Instrumente tatsächlich eingeführt werden, bleibt politisch auszugestalten.</w:t>
      </w:r>
    </w:p>
    <w:p>
      <w:pPr>
        <w:pStyle w:val="Heading2"/>
      </w:pPr>
      <w:r>
        <w:t>7. Risiken, rote Linien und Missbrauchsschutz</w:t>
      </w:r>
    </w:p>
    <w:p>
      <w:r>
        <w:t>Rote Linien betreffen insbesondere Menschenrechtsverletzungen, fossile Lock-ins ohne glaubwürdigen Transformationspfad, Wohnspekulation, Lebensmittel- und Wasserverknappung durch Finanzprodukte, Desinformation, algorithmische Manipulation, Oligarchienetzwerke, Datenmacht und demokratiegefährdende Kapitalflüsse. Positive Einzelwirkungen dürfen solche Risiken nicht kompensieren.</w:t>
      </w:r>
    </w:p>
    <w:p>
      <w:pPr>
        <w:pStyle w:val="Heading2"/>
      </w:pPr>
      <w:r>
        <w:t>8. Politische Anschlussfähigkeit</w:t>
      </w:r>
    </w:p>
    <w:p>
      <w:r>
        <w:t>Der Unterbereich gibt keinen fertigen Parteibeschluss vor. Er markiert einen Rahmen, innerhalb dessen unterschiedliche politische Modelle möglich bleiben: marktwirtschaftliche Anreizmodelle, öffentliche Bankenlogik, steuerliche Rückkopplung, Fondsmodelle, Aufsichtsregeln, kommunale Pilotierung oder EU-Harmonisierung.</w:t>
      </w:r>
    </w:p>
    <w:p>
      <w:pPr>
        <w:pStyle w:val="Heading2"/>
      </w:pPr>
      <w:r>
        <w:t>9. Online-Umsetzung</w:t>
      </w:r>
    </w:p>
    <w:p>
      <w:r>
        <w:t>Die Online-Fassung dieses Unterbereichs braucht eine Kurzfassung, das vollständige Detailkonzept, ein Einzeldossier mit Beispielrechnung, Toolkarten, relevante Steuerlinks, SDG-/SDG+-Block, Buchanker, Quellen und Downloadbereich.</w:t>
      </w:r>
    </w:p>
    <w:p>
      <w:pPr>
        <w:pStyle w:val="Heading1"/>
      </w:pPr>
      <w:r>
        <w:t>Politische Anschlussfähigkeit und Umsetzungsoptionen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Aufgabe der Politik</w:t>
            </w:r>
          </w:p>
        </w:tc>
        <w:tc>
          <w:tcPr>
            <w:tcW w:type="dxa" w:w="5040"/>
            <w:tcBorders>
              <w:top w:val="single" w:sz="4" w:color="D8D1C4"/>
              <w:left w:val="single" w:sz="4" w:color="D8D1C4"/>
              <w:bottom w:val="single" w:sz="4" w:color="D8D1C4"/>
              <w:right w:val="single" w:sz="4" w:color="D8D1C4"/>
            </w:tcBorders>
            <w:vAlign w:val="top"/>
          </w:tcPr>
          <w:p>
            <w:r>
              <w:t>Finanzmärkte müssen so gerahmt werden, dass Kapital nicht nur Rendite optimiert, sondern Risiken, Resilienz und positive Netto-Wirkung für Mensch, Planet und Demokratie berücksichtigt.</w:t>
            </w:r>
          </w:p>
        </w:tc>
      </w:tr>
      <w:tr>
        <w:tc>
          <w:tcPr>
            <w:tcW w:type="dxa" w:w="5040"/>
            <w:tcBorders>
              <w:top w:val="single" w:sz="4" w:color="D8D1C4"/>
              <w:left w:val="single" w:sz="4" w:color="D8D1C4"/>
              <w:bottom w:val="single" w:sz="4" w:color="D8D1C4"/>
              <w:right w:val="single" w:sz="4" w:color="D8D1C4"/>
            </w:tcBorders>
            <w:vAlign w:val="top"/>
          </w:tcPr>
          <w:p>
            <w:r>
              <w:t>Politische Rahmenbedingungen</w:t>
            </w:r>
          </w:p>
        </w:tc>
        <w:tc>
          <w:tcPr>
            <w:tcW w:type="dxa" w:w="5040"/>
            <w:tcBorders>
              <w:top w:val="single" w:sz="4" w:color="D8D1C4"/>
              <w:left w:val="single" w:sz="4" w:color="D8D1C4"/>
              <w:bottom w:val="single" w:sz="4" w:color="D8D1C4"/>
              <w:right w:val="single" w:sz="4" w:color="D8D1C4"/>
            </w:tcBorders>
            <w:vAlign w:val="top"/>
          </w:tcPr>
          <w:p>
            <w:r>
              <w:t>Nötig sind klare Datenstandards, proportionale Berichtspflichten, Aufsicht über ESG-/Wirkungsratings, Kredit- und Versicherungslogiken, Fondsregeln, Kapitalsteuern, öffentliche Wirkungskapitalbanken und Rechtsschutz.</w:t>
            </w:r>
          </w:p>
        </w:tc>
      </w:tr>
      <w:tr>
        <w:tc>
          <w:tcPr>
            <w:tcW w:type="dxa" w:w="5040"/>
            <w:tcBorders>
              <w:top w:val="single" w:sz="4" w:color="D8D1C4"/>
              <w:left w:val="single" w:sz="4" w:color="D8D1C4"/>
              <w:bottom w:val="single" w:sz="4" w:color="D8D1C4"/>
              <w:right w:val="single" w:sz="4" w:color="D8D1C4"/>
            </w:tcBorders>
            <w:vAlign w:val="top"/>
          </w:tcPr>
          <w:p>
            <w:r>
              <w:t>Ausgestaltungsspielraum</w:t>
            </w:r>
          </w:p>
        </w:tc>
        <w:tc>
          <w:tcPr>
            <w:tcW w:type="dxa" w:w="5040"/>
            <w:tcBorders>
              <w:top w:val="single" w:sz="4" w:color="D8D1C4"/>
              <w:left w:val="single" w:sz="4" w:color="D8D1C4"/>
              <w:bottom w:val="single" w:sz="4" w:color="D8D1C4"/>
              <w:right w:val="single" w:sz="4" w:color="D8D1C4"/>
            </w:tcBorders>
            <w:vAlign w:val="top"/>
          </w:tcPr>
          <w:p>
            <w:r>
              <w:t>Parteien können unterschiedlich gewichten: freiwillige Standards oder Pflicht, Steuer- oder Aufsichtslogik, staatliche Fonds oder private Kapitalmärkte, nationale Pilotierung oder EU-Harmonisierung.</w:t>
            </w:r>
          </w:p>
        </w:tc>
      </w:tr>
      <w:tr>
        <w:tc>
          <w:tcPr>
            <w:tcW w:type="dxa" w:w="5040"/>
            <w:tcBorders>
              <w:top w:val="single" w:sz="4" w:color="D8D1C4"/>
              <w:left w:val="single" w:sz="4" w:color="D8D1C4"/>
              <w:bottom w:val="single" w:sz="4" w:color="D8D1C4"/>
              <w:right w:val="single" w:sz="4" w:color="D8D1C4"/>
            </w:tcBorders>
            <w:vAlign w:val="top"/>
          </w:tcPr>
          <w:p>
            <w:r>
              <w:t>Zielkonflikte</w:t>
            </w:r>
          </w:p>
        </w:tc>
        <w:tc>
          <w:tcPr>
            <w:tcW w:type="dxa" w:w="5040"/>
            <w:tcBorders>
              <w:top w:val="single" w:sz="4" w:color="D8D1C4"/>
              <w:left w:val="single" w:sz="4" w:color="D8D1C4"/>
              <w:bottom w:val="single" w:sz="4" w:color="D8D1C4"/>
              <w:right w:val="single" w:sz="4" w:color="D8D1C4"/>
            </w:tcBorders>
            <w:vAlign w:val="top"/>
          </w:tcPr>
          <w:p>
            <w:r>
              <w:t>Kapitalmobilität, Standortwettbewerb, Eigentumsschutz, Finanzstabilität, Innovationsfreiheit, Datenschutz, Bürokratiereduktion und soziale Gerechtigkeit müssen austariert werden.</w:t>
            </w:r>
          </w:p>
        </w:tc>
      </w:tr>
      <w:tr>
        <w:tc>
          <w:tcPr>
            <w:tcW w:type="dxa" w:w="5040"/>
            <w:tcBorders>
              <w:top w:val="single" w:sz="4" w:color="D8D1C4"/>
              <w:left w:val="single" w:sz="4" w:color="D8D1C4"/>
              <w:bottom w:val="single" w:sz="4" w:color="D8D1C4"/>
              <w:right w:val="single" w:sz="4" w:color="D8D1C4"/>
            </w:tcBorders>
            <w:vAlign w:val="top"/>
          </w:tcPr>
          <w:p>
            <w:r>
              <w:t>Rollenverteilung</w:t>
            </w:r>
          </w:p>
        </w:tc>
        <w:tc>
          <w:tcPr>
            <w:tcW w:type="dxa" w:w="5040"/>
            <w:tcBorders>
              <w:top w:val="single" w:sz="4" w:color="D8D1C4"/>
              <w:left w:val="single" w:sz="4" w:color="D8D1C4"/>
              <w:bottom w:val="single" w:sz="4" w:color="D8D1C4"/>
              <w:right w:val="single" w:sz="4" w:color="D8D1C4"/>
            </w:tcBorders>
            <w:vAlign w:val="top"/>
          </w:tcPr>
          <w:p>
            <w:r>
              <w:t>EU, Bund, BaFin/EZB/EBA/EIOPA/ESMA, Länder, Kommunen, Banken, Versicherungen, Pensionskassen, Investoren, Unternehmen, Wissenschaft und Zivilgesellschaft tragen unterschiedliche Aufgaben.</w:t>
            </w:r>
          </w:p>
        </w:tc>
      </w:tr>
      <w:tr>
        <w:tc>
          <w:tcPr>
            <w:tcW w:type="dxa" w:w="5040"/>
            <w:tcBorders>
              <w:top w:val="single" w:sz="4" w:color="D8D1C4"/>
              <w:left w:val="single" w:sz="4" w:color="D8D1C4"/>
              <w:bottom w:val="single" w:sz="4" w:color="D8D1C4"/>
              <w:right w:val="single" w:sz="4" w:color="D8D1C4"/>
            </w:tcBorders>
            <w:vAlign w:val="top"/>
          </w:tcPr>
          <w:p>
            <w:r>
              <w:t>Übergang und Schutz</w:t>
            </w:r>
          </w:p>
        </w:tc>
        <w:tc>
          <w:tcPr>
            <w:tcW w:type="dxa" w:w="5040"/>
            <w:tcBorders>
              <w:top w:val="single" w:sz="4" w:color="D8D1C4"/>
              <w:left w:val="single" w:sz="4" w:color="D8D1C4"/>
              <w:bottom w:val="single" w:sz="4" w:color="D8D1C4"/>
              <w:right w:val="single" w:sz="4" w:color="D8D1C4"/>
            </w:tcBorders>
            <w:vAlign w:val="top"/>
          </w:tcPr>
          <w:p>
            <w:r>
              <w:t>KMU, Sparkassen, Genossenschaftsbanken, Sozialunternehmen und Haushalte brauchen Übergangsfristen, einfache Datenpfade, Härtefallregeln, Anti-Greenwashing-Schutz und demokratische Korrekturwege.</w:t>
            </w:r>
          </w:p>
        </w:tc>
      </w:tr>
      <w:tr>
        <w:tc>
          <w:tcPr>
            <w:tcW w:type="dxa" w:w="5040"/>
            <w:tcBorders>
              <w:top w:val="single" w:sz="4" w:color="D8D1C4"/>
              <w:left w:val="single" w:sz="4" w:color="D8D1C4"/>
              <w:bottom w:val="single" w:sz="4" w:color="D8D1C4"/>
              <w:right w:val="single" w:sz="4" w:color="D8D1C4"/>
            </w:tcBorders>
            <w:vAlign w:val="top"/>
          </w:tcPr>
          <w:p>
            <w:r>
              <w:t>Evaluation und Korrektur</w:t>
            </w:r>
          </w:p>
        </w:tc>
        <w:tc>
          <w:tcPr>
            <w:tcW w:type="dxa" w:w="5040"/>
            <w:tcBorders>
              <w:top w:val="single" w:sz="4" w:color="D8D1C4"/>
              <w:left w:val="single" w:sz="4" w:color="D8D1C4"/>
              <w:bottom w:val="single" w:sz="4" w:color="D8D1C4"/>
              <w:right w:val="single" w:sz="4" w:color="D8D1C4"/>
            </w:tcBorders>
            <w:vAlign w:val="top"/>
          </w:tcPr>
          <w:p>
            <w:r>
              <w:t>Wirkungsberichte, Stresstests, Revisionszyklen, Wirkungsrat, öffentliche Konsultation, unabhängige Assurance und Fehlerkultur halten das System lernfähig.</w:t>
            </w:r>
          </w:p>
        </w:tc>
      </w:tr>
      <w:tr>
        <w:tc>
          <w:tcPr>
            <w:tcW w:type="dxa" w:w="5040"/>
            <w:tcBorders>
              <w:top w:val="single" w:sz="4" w:color="D8D1C4"/>
              <w:left w:val="single" w:sz="4" w:color="D8D1C4"/>
              <w:bottom w:val="single" w:sz="4" w:color="D8D1C4"/>
              <w:right w:val="single" w:sz="4" w:color="D8D1C4"/>
            </w:tcBorders>
            <w:vAlign w:val="top"/>
          </w:tcPr>
          <w:p>
            <w:r>
              <w:t>Parteipolitische Anschlussfähigkeit</w:t>
            </w:r>
          </w:p>
        </w:tc>
        <w:tc>
          <w:tcPr>
            <w:tcW w:type="dxa" w:w="5040"/>
            <w:tcBorders>
              <w:top w:val="single" w:sz="4" w:color="D8D1C4"/>
              <w:left w:val="single" w:sz="4" w:color="D8D1C4"/>
              <w:bottom w:val="single" w:sz="4" w:color="D8D1C4"/>
              <w:right w:val="single" w:sz="4" w:color="D8D1C4"/>
            </w:tcBorders>
            <w:vAlign w:val="top"/>
          </w:tcPr>
          <w:p>
            <w:r>
              <w:t>Konservative, liberale, sozialdemokratische, grüne, linke, kommunale und wirtschaftsnahe Ansätze können jeweils eigene Wege wählen, solange Wirkung sichtbar, überprüfbar und korrigierbar bleibt.</w:t>
            </w:r>
          </w:p>
        </w:tc>
      </w:tr>
      <w:tr>
        <w:tc>
          <w:tcPr>
            <w:tcW w:type="dxa" w:w="5040"/>
            <w:tcBorders>
              <w:top w:val="single" w:sz="4" w:color="D8D1C4"/>
              <w:left w:val="single" w:sz="4" w:color="D8D1C4"/>
              <w:bottom w:val="single" w:sz="4" w:color="D8D1C4"/>
              <w:right w:val="single" w:sz="4" w:color="D8D1C4"/>
            </w:tcBorders>
            <w:vAlign w:val="top"/>
          </w:tcPr>
          <w:p>
            <w:r>
              <w:t>Schutz vor Technokratie</w:t>
            </w:r>
          </w:p>
        </w:tc>
        <w:tc>
          <w:tcPr>
            <w:tcW w:type="dxa" w:w="5040"/>
            <w:tcBorders>
              <w:top w:val="single" w:sz="4" w:color="D8D1C4"/>
              <w:left w:val="single" w:sz="4" w:color="D8D1C4"/>
              <w:bottom w:val="single" w:sz="4" w:color="D8D1C4"/>
              <w:right w:val="single" w:sz="4" w:color="D8D1C4"/>
            </w:tcBorders>
            <w:vAlign w:val="top"/>
          </w:tcPr>
          <w:p>
            <w:r>
              <w:t>Wirkungsdaten bereiten Entscheidungen vor, ersetzen sie aber nicht. Normative Entscheidungen bleiben demokratisch legitimiert.</w:t>
            </w:r>
          </w:p>
        </w:tc>
      </w:tr>
    </w:tbl>
    <w:p>
      <w:pPr>
        <w:pStyle w:val="Heading1"/>
      </w:pPr>
      <w:r>
        <w:t>SDG-/SDG+-Bezug</w:t>
      </w:r>
    </w:p>
    <w:p>
      <w:r>
        <w:t>Besonders relevant sind SDG 8, 9, 10, 11, 12, 13, 16 und 17 sowie SDG+ Demokratie, Medienqualität, Rechtsstaatlichkeit, institutionelles Vertrauen, gesellschaftlicher Zusammenhalt und digitale Selbstbestimmung. Finanzsystem &amp; Kapital wirkt als Querschnitt, weil Kapital nahezu jedes SDG entweder ermöglicht oder blockiert.</w:t>
      </w:r>
    </w:p>
    <w:p>
      <w:pPr>
        <w:pStyle w:val="Heading1"/>
      </w:pPr>
      <w:r>
        <w:t>Anker im Online-Buch</w:t>
      </w:r>
    </w:p>
    <w:p>
      <w:pPr>
        <w:pStyle w:val="ListBullet"/>
      </w:pPr>
      <w:r>
        <w:t>Kapitel 3: Kapital als Werkzeug und falscher Kompass</w:t>
      </w:r>
    </w:p>
    <w:p>
      <w:pPr>
        <w:pStyle w:val="ListBullet"/>
      </w:pPr>
      <w:r>
        <w:t>Kapitel 17: Wirkungsökonomie im Vergleich</w:t>
      </w:r>
    </w:p>
    <w:p>
      <w:pPr>
        <w:pStyle w:val="ListBullet"/>
      </w:pPr>
      <w:r>
        <w:t>Kapitel 18: Wirkungsordnungen</w:t>
      </w:r>
    </w:p>
    <w:p>
      <w:pPr>
        <w:pStyle w:val="ListBullet"/>
      </w:pPr>
      <w:r>
        <w:t>Kapitel 34: T-SROI</w:t>
      </w:r>
    </w:p>
    <w:p>
      <w:pPr>
        <w:pStyle w:val="ListBullet"/>
      </w:pPr>
      <w:r>
        <w:t>Kapitel 37-40: WStG, WUStG, Wirkungshaushalt, Wirkungsrat</w:t>
      </w:r>
    </w:p>
    <w:p>
      <w:pPr>
        <w:pStyle w:val="ListBullet"/>
      </w:pPr>
      <w:r>
        <w:t>Kapitel 58: Wirkungsrente</w:t>
      </w:r>
    </w:p>
    <w:p>
      <w:pPr>
        <w:pStyle w:val="ListBullet"/>
      </w:pPr>
      <w:r>
        <w:t>Kapitel 59: Finanzsystem &amp; Kapital</w:t>
      </w:r>
    </w:p>
    <w:p>
      <w:pPr>
        <w:pStyle w:val="ListBullet"/>
      </w:pPr>
      <w:r>
        <w:t>Kapitel 98: Wirkungsfonds und Datenräume</w:t>
      </w:r>
    </w:p>
    <w:p>
      <w:pPr>
        <w:pStyle w:val="Heading1"/>
      </w:pPr>
      <w:r>
        <w:t>Quellen und Referenzrahmen</w:t>
      </w:r>
    </w:p>
    <w:p>
      <w:r>
        <w:t>Die folgenden Quellen bilden den öffentlichen und internen Referenzrahmen. Die Wirkungsökonomie nutzt sie nicht als bloße Berichtswelt, sondern als Anschluss an Daten, Risiko, Kapitalzugang, Steuerlogik und demokratische Korrektur.</w:t>
      </w:r>
    </w:p>
    <w:p>
      <w:pPr>
        <w:pStyle w:val="ListBullet"/>
      </w:pPr>
      <w:r>
        <w:t xml:space="preserve">European Banking Authority (EBA), Final Guidelines on the management of ESG risks, 2025. </w:t>
      </w:r>
      <w:hyperlink r:id="rId11">
        <w:r>
          <w:rPr>
            <w:color w:val="2E7D5C"/>
            <w:u w:val="single"/>
          </w:rPr>
          <w:t>https://www.eba.europa.eu/publications-and-media/press-releases/eba-publishes-its-final-guidelines-management-esg-risks</w:t>
        </w:r>
      </w:hyperlink>
    </w:p>
    <w:p>
      <w:pPr>
        <w:pStyle w:val="ListBullet"/>
      </w:pPr>
      <w:r>
        <w:t xml:space="preserve">European Commission, Corporate sustainability reporting / CSRD / ESRS. </w:t>
      </w:r>
      <w:hyperlink r:id="rId12">
        <w:r>
          <w:rPr>
            <w:color w:val="2E7D5C"/>
            <w:u w:val="single"/>
          </w:rPr>
          <w:t>https://finance.ec.europa.eu/financial-markets/company-reporting-and-auditing/company-reporting/corporate-sustainability-reporting_en</w:t>
        </w:r>
      </w:hyperlink>
    </w:p>
    <w:p>
      <w:pPr>
        <w:pStyle w:val="ListBullet"/>
      </w:pPr>
      <w:r>
        <w:t xml:space="preserve">European Commission, EU taxonomy for sustainable activities. </w:t>
      </w:r>
      <w:hyperlink r:id="rId13">
        <w:r>
          <w:rPr>
            <w:color w:val="2E7D5C"/>
            <w:u w:val="single"/>
          </w:rPr>
          <w:t>https://finance.ec.europa.eu/sustainable-finance/tools-and-standards/eu-taxonomy-sustainable-activities_en</w:t>
        </w:r>
      </w:hyperlink>
    </w:p>
    <w:p>
      <w:pPr>
        <w:pStyle w:val="ListBullet"/>
      </w:pPr>
      <w:r>
        <w:t xml:space="preserve">European Commission, Sustainable Finance Disclosure Regulation (SFDR) and revision. </w:t>
      </w:r>
      <w:hyperlink r:id="rId14">
        <w:r>
          <w:rPr>
            <w:color w:val="2E7D5C"/>
            <w:u w:val="single"/>
          </w:rPr>
          <w:t>https://finance.ec.europa.eu/sustainable-finance/disclosures/sustainability-related-disclosure-financial-services-sector_en</w:t>
        </w:r>
      </w:hyperlink>
    </w:p>
    <w:p>
      <w:pPr>
        <w:pStyle w:val="ListBullet"/>
      </w:pPr>
      <w:r>
        <w:t xml:space="preserve">ESMA, ESG Rating Providers and ESG Rating Regulation. </w:t>
      </w:r>
      <w:hyperlink r:id="rId15">
        <w:r>
          <w:rPr>
            <w:color w:val="2E7D5C"/>
            <w:u w:val="single"/>
          </w:rPr>
          <w:t>https://www.esma.europa.eu/esmas-activities/investors-and-issuers/esg-rating-providers</w:t>
        </w:r>
      </w:hyperlink>
    </w:p>
    <w:p>
      <w:pPr>
        <w:pStyle w:val="ListBullet"/>
      </w:pPr>
      <w:r>
        <w:t xml:space="preserve">EIOPA, Sustainable finance and climate insurance protection gaps. </w:t>
      </w:r>
      <w:hyperlink r:id="rId16">
        <w:r>
          <w:rPr>
            <w:color w:val="2E7D5C"/>
            <w:u w:val="single"/>
          </w:rPr>
          <w:t>https://www.eiopa.europa.eu/publications/sustainable-finance-past-current-and-future-supervisory-priority-eiopa_en</w:t>
        </w:r>
      </w:hyperlink>
    </w:p>
    <w:p>
      <w:pPr>
        <w:pStyle w:val="ListBullet"/>
      </w:pPr>
      <w:r>
        <w:t xml:space="preserve">EIOPA, Insurance protection gaps in a changing climate, 2026. </w:t>
      </w:r>
      <w:hyperlink r:id="rId17">
        <w:r>
          <w:rPr>
            <w:color w:val="2E7D5C"/>
            <w:u w:val="single"/>
          </w:rPr>
          <w:t>https://www.eiopa.europa.eu/insurance-protection-gaps-changing-climate-2026-04-16_en</w:t>
        </w:r>
      </w:hyperlink>
    </w:p>
    <w:p>
      <w:pPr>
        <w:pStyle w:val="ListBullet"/>
      </w:pPr>
      <w:r>
        <w:t xml:space="preserve">NGFS, climate-related and environmental financial risks. </w:t>
      </w:r>
      <w:hyperlink r:id="rId18">
        <w:r>
          <w:rPr>
            <w:color w:val="2E7D5C"/>
            <w:u w:val="single"/>
          </w:rPr>
          <w:t>https://www.ngfs.net</w:t>
        </w:r>
      </w:hyperlink>
    </w:p>
    <w:p>
      <w:pPr>
        <w:pStyle w:val="ListBullet"/>
      </w:pPr>
      <w:r>
        <w:t xml:space="preserve">Natalie Weber, Die neue Ordnung des Wohlstands, 2026, Kapitel 3, 59, 98. </w:t>
      </w:r>
      <w:r>
        <w:t>Interne WÖk-Quelle</w:t>
      </w:r>
    </w:p>
    <w:p>
      <w:pPr>
        <w:pStyle w:val="ListBullet"/>
      </w:pPr>
      <w:r>
        <w:t xml:space="preserve">Natalie Weber, Systemmodell der Wirkungsökonomie, Spalte Finanzsystem &amp; Kapital. </w:t>
      </w:r>
      <w:r>
        <w:t>Interne WÖk-Quelle</w:t>
      </w:r>
    </w:p>
    <w:p>
      <w:pPr>
        <w:pStyle w:val="ListBullet"/>
      </w:pPr>
      <w:r>
        <w:t xml:space="preserve">Natalie Weber, Whitepaper T-SROI, 2025. </w:t>
      </w:r>
      <w:r>
        <w:t>Interne WÖk-Quelle</w:t>
      </w:r>
    </w:p>
    <w:p>
      <w:pPr>
        <w:pStyle w:val="ListBullet"/>
      </w:pPr>
      <w:r>
        <w:t xml:space="preserve">Natalie Weber, WStG Oktober 2025 und WUStG-Leitlinien. </w:t>
      </w:r>
      <w:r>
        <w:t>Interne WÖk-Quelle</w:t>
      </w:r>
    </w:p>
    <w:p>
      <w:pPr>
        <w:pStyle w:val="ListBullet"/>
      </w:pPr>
      <w:r>
        <w:t xml:space="preserve">Natalie Weber, Wenn Maschinen arbeiten, 2025. </w:t>
      </w:r>
      <w:r>
        <w:t>Interne WÖk-Quelle</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E6E6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6"/>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6"/>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eba.europa.eu/publications-and-media/press-releases/eba-publishes-its-final-guidelines-management-esg-risks" TargetMode="External"/><Relationship Id="rId12" Type="http://schemas.openxmlformats.org/officeDocument/2006/relationships/hyperlink" Target="https://finance.ec.europa.eu/financial-markets/company-reporting-and-auditing/company-reporting/corporate-sustainability-reporting_en"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finance.ec.europa.eu/sustainable-finance/disclosures/sustainability-related-disclosure-financial-services-sector_en" TargetMode="External"/><Relationship Id="rId15" Type="http://schemas.openxmlformats.org/officeDocument/2006/relationships/hyperlink" Target="https://www.esma.europa.eu/esmas-activities/investors-and-issuers/esg-rating-providers" TargetMode="External"/><Relationship Id="rId16" Type="http://schemas.openxmlformats.org/officeDocument/2006/relationships/hyperlink" Target="https://www.eiopa.europa.eu/publications/sustainable-finance-past-current-and-future-supervisory-priority-eiopa_en" TargetMode="External"/><Relationship Id="rId17" Type="http://schemas.openxmlformats.org/officeDocument/2006/relationships/hyperlink" Target="https://www.eiopa.europa.eu/insurance-protection-gaps-changing-climate-2026-04-16_en" TargetMode="External"/><Relationship Id="rId18" Type="http://schemas.openxmlformats.org/officeDocument/2006/relationships/hyperlink" Target="https://www.ngf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