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B1026"/>
          <w:sz w:val="28"/>
        </w:rPr>
        <w:t>WIRKUNGSÖKONOMIE</w:t>
      </w:r>
    </w:p>
    <w:p>
      <w:pPr>
        <w:jc w:val="center"/>
      </w:pPr>
      <w:r>
        <w:rPr>
          <w:rFonts w:ascii="Arial" w:hAnsi="Arial"/>
          <w:color w:val="C89B3C"/>
          <w:sz w:val="16"/>
        </w:rPr>
        <w:t>FÜR MENSCH, PLANET UND DEMOKRATIE</w:t>
      </w:r>
    </w:p>
    <w:p/>
    <w:p>
      <w:pPr>
        <w:jc w:val="center"/>
      </w:pPr>
      <w:r>
        <w:rPr>
          <w:rFonts w:ascii="Georgia" w:hAnsi="Georgia"/>
          <w:b/>
          <w:color w:val="0B1026"/>
          <w:sz w:val="54"/>
        </w:rPr>
        <w:t>Finanzsystem &amp; Kapital</w:t>
      </w:r>
    </w:p>
    <w:p>
      <w:pPr>
        <w:jc w:val="center"/>
      </w:pPr>
      <w:r>
        <w:rPr>
          <w:rFonts w:ascii="Arial" w:hAnsi="Arial"/>
          <w:color w:val="2E342C"/>
          <w:sz w:val="26"/>
        </w:rPr>
        <w:t>Einzeldossier-Set: Anwendung, Beispiele, Daten, Berechnung und Umsetzung je Unterbereich</w:t>
      </w:r>
    </w:p>
    <w:p/>
    <w:tbl>
      <w:tblPr>
        <w:tblW w:type="auto" w:w="0"/>
        <w:jc w:val="center"/>
        <w:tblLook w:firstColumn="1" w:firstRow="1" w:lastColumn="0" w:lastRow="0" w:noHBand="0" w:noVBand="1" w:val="04A0"/>
      </w:tblPr>
      <w:tblGrid>
        <w:gridCol w:w="5040"/>
        <w:gridCol w:w="5040"/>
      </w:tblGrid>
      <w:tr>
        <w:tc>
          <w:tcPr>
            <w:tcW w:type="dxa" w:w="5040"/>
            <w:tcBorders>
              <w:top w:val="single" w:sz="4" w:color="D8D1C4"/>
              <w:left w:val="single" w:sz="4" w:color="D8D1C4"/>
              <w:bottom w:val="single" w:sz="4" w:color="D8D1C4"/>
              <w:right w:val="single" w:sz="4" w:color="D8D1C4"/>
            </w:tcBorders>
            <w:vAlign w:val="center"/>
            <w:shd w:fill="F6F1E8"/>
          </w:tcPr>
          <w:p>
            <w:r>
              <w:t>Autorin</w:t>
            </w:r>
          </w:p>
        </w:tc>
        <w:tc>
          <w:tcPr>
            <w:tcW w:type="dxa" w:w="5040"/>
            <w:tcBorders>
              <w:top w:val="single" w:sz="4" w:color="D8D1C4"/>
              <w:left w:val="single" w:sz="4" w:color="D8D1C4"/>
              <w:bottom w:val="single" w:sz="4" w:color="D8D1C4"/>
              <w:right w:val="single" w:sz="4" w:color="D8D1C4"/>
            </w:tcBorders>
            <w:vAlign w:val="center"/>
          </w:tcPr>
          <w:p>
            <w:r>
              <w:t>Natalie Weber</w:t>
            </w:r>
          </w:p>
        </w:tc>
      </w:tr>
      <w:tr>
        <w:tc>
          <w:tcPr>
            <w:tcW w:type="dxa" w:w="5040"/>
            <w:tcBorders>
              <w:top w:val="single" w:sz="4" w:color="D8D1C4"/>
              <w:left w:val="single" w:sz="4" w:color="D8D1C4"/>
              <w:bottom w:val="single" w:sz="4" w:color="D8D1C4"/>
              <w:right w:val="single" w:sz="4" w:color="D8D1C4"/>
            </w:tcBorders>
            <w:vAlign w:val="center"/>
            <w:shd w:fill="F6F1E8"/>
          </w:tcPr>
          <w:p>
            <w:r>
              <w:t>Referenz</w:t>
            </w:r>
          </w:p>
        </w:tc>
        <w:tc>
          <w:tcPr>
            <w:tcW w:type="dxa" w:w="5040"/>
            <w:tcBorders>
              <w:top w:val="single" w:sz="4" w:color="D8D1C4"/>
              <w:left w:val="single" w:sz="4" w:color="D8D1C4"/>
              <w:bottom w:val="single" w:sz="4" w:color="D8D1C4"/>
              <w:right w:val="single" w:sz="4" w:color="D8D1C4"/>
            </w:tcBorders>
            <w:vAlign w:val="center"/>
          </w:tcPr>
          <w:p>
            <w:r>
              <w:t>Wirkungsökonomie</w:t>
            </w:r>
          </w:p>
        </w:tc>
      </w:tr>
      <w:tr>
        <w:tc>
          <w:tcPr>
            <w:tcW w:type="dxa" w:w="5040"/>
            <w:tcBorders>
              <w:top w:val="single" w:sz="4" w:color="D8D1C4"/>
              <w:left w:val="single" w:sz="4" w:color="D8D1C4"/>
              <w:bottom w:val="single" w:sz="4" w:color="D8D1C4"/>
              <w:right w:val="single" w:sz="4" w:color="D8D1C4"/>
            </w:tcBorders>
            <w:vAlign w:val="center"/>
            <w:shd w:fill="F6F1E8"/>
          </w:tcPr>
          <w:p>
            <w:r>
              <w:t>Version</w:t>
            </w:r>
          </w:p>
        </w:tc>
        <w:tc>
          <w:tcPr>
            <w:tcW w:type="dxa" w:w="5040"/>
            <w:tcBorders>
              <w:top w:val="single" w:sz="4" w:color="D8D1C4"/>
              <w:left w:val="single" w:sz="4" w:color="D8D1C4"/>
              <w:bottom w:val="single" w:sz="4" w:color="D8D1C4"/>
              <w:right w:val="single" w:sz="4" w:color="D8D1C4"/>
            </w:tcBorders>
            <w:vAlign w:val="center"/>
          </w:tcPr>
          <w:p>
            <w:r>
              <w:t>v0.1</w:t>
            </w:r>
          </w:p>
        </w:tc>
      </w:tr>
      <w:tr>
        <w:tc>
          <w:tcPr>
            <w:tcW w:type="dxa" w:w="5040"/>
            <w:tcBorders>
              <w:top w:val="single" w:sz="4" w:color="D8D1C4"/>
              <w:left w:val="single" w:sz="4" w:color="D8D1C4"/>
              <w:bottom w:val="single" w:sz="4" w:color="D8D1C4"/>
              <w:right w:val="single" w:sz="4" w:color="D8D1C4"/>
            </w:tcBorders>
            <w:vAlign w:val="center"/>
            <w:shd w:fill="F6F1E8"/>
          </w:tcPr>
          <w:p>
            <w:r>
              <w:t>Status</w:t>
            </w:r>
          </w:p>
        </w:tc>
        <w:tc>
          <w:tcPr>
            <w:tcW w:type="dxa" w:w="5040"/>
            <w:tcBorders>
              <w:top w:val="single" w:sz="4" w:color="D8D1C4"/>
              <w:left w:val="single" w:sz="4" w:color="D8D1C4"/>
              <w:bottom w:val="single" w:sz="4" w:color="D8D1C4"/>
              <w:right w:val="single" w:sz="4" w:color="D8D1C4"/>
            </w:tcBorders>
            <w:vAlign w:val="center"/>
          </w:tcPr>
          <w:p>
            <w:r>
              <w:t>Einzeldossier-Set · Arbeitsfassung</w:t>
            </w:r>
          </w:p>
        </w:tc>
      </w:tr>
      <w:tr>
        <w:tc>
          <w:tcPr>
            <w:tcW w:type="dxa" w:w="5040"/>
            <w:tcBorders>
              <w:top w:val="single" w:sz="4" w:color="D8D1C4"/>
              <w:left w:val="single" w:sz="4" w:color="D8D1C4"/>
              <w:bottom w:val="single" w:sz="4" w:color="D8D1C4"/>
              <w:right w:val="single" w:sz="4" w:color="D8D1C4"/>
            </w:tcBorders>
            <w:vAlign w:val="center"/>
            <w:shd w:fill="F6F1E8"/>
          </w:tcPr>
          <w:p>
            <w:r>
              <w:t>Stand</w:t>
            </w:r>
          </w:p>
        </w:tc>
        <w:tc>
          <w:tcPr>
            <w:tcW w:type="dxa" w:w="5040"/>
            <w:tcBorders>
              <w:top w:val="single" w:sz="4" w:color="D8D1C4"/>
              <w:left w:val="single" w:sz="4" w:color="D8D1C4"/>
              <w:bottom w:val="single" w:sz="4" w:color="D8D1C4"/>
              <w:right w:val="single" w:sz="4" w:color="D8D1C4"/>
            </w:tcBorders>
            <w:vAlign w:val="center"/>
          </w:tcPr>
          <w:p>
            <w:r>
              <w:t>Mai 2026</w:t>
            </w:r>
          </w:p>
        </w:tc>
      </w:tr>
    </w:tbl>
    <w:p>
      <w:r>
        <w:br w:type="page"/>
      </w:r>
    </w:p>
    <w:p>
      <w:pPr>
        <w:pStyle w:val="Heading1"/>
      </w:pPr>
      <w:r>
        <w:t>Vorbemerkung</w:t>
      </w:r>
    </w:p>
    <w:p>
      <w:r>
        <w:t>Dieses Einzeldossier-Set ergänzt die Detailkonzepte. Es konzentriert sich auf praktische Anwendung, Beispielrechnungen, Datenquellen, Tool-Logik und politische Umsetzung. Alle Beispiele sind modellhaft und nicht amtlich.</w:t>
      </w:r>
    </w:p>
    <w:p>
      <w:pPr>
        <w:pStyle w:val="Heading1"/>
      </w:pPr>
      <w:r>
        <w:t>1. Einzeldossier: Kapital als Wirkungskraft</w:t>
      </w:r>
    </w:p>
    <w:p>
      <w:r>
        <w:t>Kapital wird vom Machtmittel zur öffentlichen Wirkungskraft. Es dient Regeneration, Innovation, sozialer Stabilität, Demokratie und Resilienz.</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2. Einzeldossier: Kapitalwirkung statt Kapitalrendite</w:t>
      </w:r>
    </w:p>
    <w:p>
      <w:r>
        <w:t>Kapitalrendite fragt nach finanzieller Rückkehr. Kapitalwirkung fragt, welche Zustandsveränderung durch den Kapitaleinsatz entsteht.</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3. Einzeldossier: Portfolio-Wirkungsrating und Kapitalwirkungsindex</w:t>
      </w:r>
    </w:p>
    <w:p>
      <w:r>
        <w:t>Portfolios werden nicht nur nach Risiko/Rendite gestreut, sondern nach positiver Netto-Wirkung, roten Linien, Transformation und Resilienz geprüft.</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4. Einzeldossier: Banken, Wirkungskredite und EBA-Anschluss</w:t>
      </w:r>
    </w:p>
    <w:p>
      <w:r>
        <w:t>Banken werden von Sicherheitenlogik zu Zukunftsfinanzierern weiterentwickelt. Die EBA-ESG-Risikoanforderungen sind ein realer Anschluss.</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Eine regionale Bank finanziert eine energetische Quartierssanierung. Klassisch prüft sie Bonität, Sicherheiten und Cashflow. Wirkungsökonomisch prüft sie zusätzlich Emissionssenkung, Warmmietenrisiko, soziale Entlastung, Gesundheitswirkung, Datenqualität und Transformationspfad. Bei positiver Bewertung sinkt der Wirkungszins; bei Verdrängungsrisiko steigt die Prüfpflicht.</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5. Einzeldossier: Versicherungen, Versicherbarkeit und Resilienz</w:t>
      </w:r>
    </w:p>
    <w:p>
      <w:r>
        <w:t>Versicherbarkeit wird zu einem Wirkungsindikator. Risiken, die private Märkte nicht mehr tragen können, zeigen Systemgrenzen.</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Gebäudebestand ist wegen Hitze, Starkregen und schlechter Energieperformance zunehmend schwer versicherbar. Im WÖk-Modell wird Versicherbarkeit zum Warnsignal. Ein Resilienzfonds kann Prävention finanzieren, bevor Schäden eintreten.</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6. Einzeldossier: ESG-Ratings, Börsen und Impact Exchange</w:t>
      </w:r>
    </w:p>
    <w:p>
      <w:r>
        <w:t>ESG-Ratings zeigen Risiken, aber nicht automatisch Wirkung. Wirkungskapitalmärkte brauchen Transparenz, Vergleichbarkeit und Schutz vor Wirkungssimulation.</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7. Einzeldossier: Wirkungsfonds als Dacharchitektur</w:t>
      </w:r>
    </w:p>
    <w:p>
      <w:r>
        <w:t>Wirkungsfonds finanzieren Prävention, Transformation, Resilienz, soziale Entlastung und Zukunftsinfrastruktur, bevor sie sich im alten System rechnen.</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8. Einzeldossier: Bürger:innenfonds, Wirkungsrente und Teilhabe am Kapital</w:t>
      </w:r>
    </w:p>
    <w:p>
      <w:r>
        <w:t>Kapitalzugang wird demokratisiert. Bürger:innenfonds verbinden sichere Altersvorsorge, Wirkungsrendite und Beteiligung an Zukunftsinfrastruktur.</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Wirkungsfonds finanziert Hitzeschutz, Pflegeentlastung und energetische Sanierung. Rückflüsse entstehen über eingesparte Folgekosten, niedrigere Versicherungsrisiken, höhere Resilienz und soziale Entlastung. Die Rendite ist an Wirkung gebunden.</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9. Einzeldossier: Steuer- und Abgabenarchitektur des Kapitals</w:t>
      </w:r>
    </w:p>
    <w:p>
      <w:r>
        <w:t>Wirkungskörperschaftsteuer, Wirkungsgewerbesteuer, Vermögens- und Erbschaftslogik, WUStG, WEstG und Kapitalwirkungsaufschläge werden systemisch verknüpft.</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Kapitalerträge aus positiver Transformation erhalten geringere Kapitalwirkungsaufschläge; spekulative Gewinne aus Wohnraumverknappung, fossilen Lock-ins oder demokratiegefährdenden Plattformen tragen höhere Rückkopplungskosten. Vermögen- und Erbschaftslogik werden nicht pauschal, sondern wirkungsgebunden diskutiert.</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10. Einzeldossier: Automatisierungsdividende und Maschinenwertschöpfung</w:t>
      </w:r>
    </w:p>
    <w:p>
      <w:r>
        <w:t>Produktivitätsgewinne aus KI, Robotik und autonomen Systemen werden nicht gegen Innovation gewendet, sondern sozial rückgekoppelt.</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Unternehmen steigert durch Robotik Produktivität um 10 Mio. Euro. Wenn Lohnsumme und Sozialbeiträge sinken, fließt ein Teil als Automatisierungsdividende in den Wirkungsfonds. Bei guter Mitarbeiterführung, Qualifizierung und Arbeitszeitverkürzung kann die Belastung geringer ausfallen.</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11. Einzeldossier: Wirkungsaufsicht, Kapitalmissbrauch und toxische Finanzprodukte</w:t>
      </w:r>
    </w:p>
    <w:p>
      <w:r>
        <w:t>Finanzaufsicht wird um Wirkungsrisiko, algorithmische Kapitalentscheidungen, Oligarchienetzwerke und demokratiegefährdende Finanzprodukte erweitert.</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12. Einzeldossier: Finanzkompetenz 2.0 und demokratische Kontrolle</w:t>
      </w:r>
    </w:p>
    <w:p>
      <w:r>
        <w:t>Bürger:innen, Analyst:innen, Banken, Fonds und Aufsicht brauchen Wirkungskompetenz, Systemdenken, Datenkompetenz und KI-Finanzethik.</w:t>
      </w:r>
    </w:p>
    <w:p>
      <w:pPr>
        <w:pStyle w:val="Heading2"/>
      </w:pPr>
      <w:r>
        <w:t>Praxisfrage</w:t>
      </w:r>
    </w:p>
    <w:p>
      <w:r>
        <w:t>Welche Entscheidung soll mit diesem Dossier besser getroffen werden? Das Dossier hilft, Kapitalflüsse, Risiken, Datenqualität, Steuerbezug und Fondsfähigkeit wirkungsökonomisch zu prüfen.</w:t>
      </w:r>
    </w:p>
    <w:p>
      <w:pPr>
        <w:pStyle w:val="Heading2"/>
      </w:pPr>
      <w:r>
        <w:t>Beispiel</w:t>
      </w:r>
    </w:p>
    <w:p>
      <w:r>
        <w:t>Beispiel: Ein Portfolio enthält erneuerbare Infrastruktur, nachhaltige Materialien und gleichzeitig eine Beteiligung an einem Desinformationsnetzwerk. Klassisch kann es diversifiziert wirken. Wirkungsökonomisch greift die rote Linie: demokratiegefährdende Kapitalwirkung begrenzt die Bewertung.</w:t>
      </w:r>
    </w:p>
    <w:p>
      <w:pPr>
        <w:pStyle w:val="Heading2"/>
      </w:pPr>
      <w:r>
        <w:t>Datenquellen</w:t>
      </w:r>
    </w:p>
    <w:p>
      <w:pPr>
        <w:pStyle w:val="ListBullet"/>
      </w:pPr>
      <w:r>
        <w:t>WÖk-IDs und Scorecards</w:t>
      </w:r>
    </w:p>
    <w:p>
      <w:pPr>
        <w:pStyle w:val="ListBullet"/>
      </w:pPr>
      <w:r>
        <w:t>CSRD/ESRS, GRI, EU-Taxonomie und Lieferkettendaten</w:t>
      </w:r>
    </w:p>
    <w:p>
      <w:pPr>
        <w:pStyle w:val="ListBullet"/>
      </w:pPr>
      <w:r>
        <w:t>Bank-, Kredit-, Versicherungs- und Portfoliodaten</w:t>
      </w:r>
    </w:p>
    <w:p>
      <w:pPr>
        <w:pStyle w:val="ListBullet"/>
      </w:pPr>
      <w:r>
        <w:t>Öffentliche Statistik, Szenarien und Aufsichtsdaten</w:t>
      </w:r>
    </w:p>
    <w:p>
      <w:pPr>
        <w:pStyle w:val="ListBullet"/>
      </w:pPr>
      <w:r>
        <w:t>Datenqualitätsklasse A bis D</w:t>
      </w:r>
    </w:p>
    <w:p>
      <w:pPr>
        <w:pStyle w:val="Heading2"/>
      </w:pPr>
      <w:r>
        <w:t>Berechnungslogik</w:t>
      </w:r>
    </w:p>
    <w:p>
      <w:r>
        <w:t>Arbeitsmatrix v0.1: Bewertung = operative Netto-Wirkung (NWI) + Transformationswirkung (T-SROI) + Resilienz + Datenqualität - rote-Linien-Malus. Die Gewichtung muss je Sektor und politischer Ausgestaltung spezifiziert werden.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NWI</w:t>
            </w:r>
          </w:p>
        </w:tc>
        <w:tc>
          <w:tcPr>
            <w:tcW w:type="dxa" w:w="5040"/>
            <w:tcBorders>
              <w:top w:val="single" w:sz="4" w:color="D8D1C4"/>
              <w:left w:val="single" w:sz="4" w:color="D8D1C4"/>
              <w:bottom w:val="single" w:sz="4" w:color="D8D1C4"/>
              <w:right w:val="single" w:sz="4" w:color="D8D1C4"/>
            </w:tcBorders>
            <w:vAlign w:val="top"/>
          </w:tcPr>
          <w:p>
            <w:r>
              <w:t>Bewertet operative Netto-Wirkung.</w:t>
            </w:r>
          </w:p>
        </w:tc>
      </w:tr>
      <w:tr>
        <w:tc>
          <w:tcPr>
            <w:tcW w:type="dxa" w:w="5040"/>
            <w:tcBorders>
              <w:top w:val="single" w:sz="4" w:color="D8D1C4"/>
              <w:left w:val="single" w:sz="4" w:color="D8D1C4"/>
              <w:bottom w:val="single" w:sz="4" w:color="D8D1C4"/>
              <w:right w:val="single" w:sz="4" w:color="D8D1C4"/>
            </w:tcBorders>
            <w:vAlign w:val="top"/>
          </w:tcPr>
          <w:p>
            <w:r>
              <w:t>T-SROI</w:t>
            </w:r>
          </w:p>
        </w:tc>
        <w:tc>
          <w:tcPr>
            <w:tcW w:type="dxa" w:w="5040"/>
            <w:tcBorders>
              <w:top w:val="single" w:sz="4" w:color="D8D1C4"/>
              <w:left w:val="single" w:sz="4" w:color="D8D1C4"/>
              <w:bottom w:val="single" w:sz="4" w:color="D8D1C4"/>
              <w:right w:val="single" w:sz="4" w:color="D8D1C4"/>
            </w:tcBorders>
            <w:vAlign w:val="top"/>
          </w:tcPr>
          <w:p>
            <w:r>
              <w:t>Bewertet Transformationswirkung und Systemhebel.</w:t>
            </w:r>
          </w:p>
        </w:tc>
      </w:tr>
      <w:tr>
        <w:tc>
          <w:tcPr>
            <w:tcW w:type="dxa" w:w="5040"/>
            <w:tcBorders>
              <w:top w:val="single" w:sz="4" w:color="D8D1C4"/>
              <w:left w:val="single" w:sz="4" w:color="D8D1C4"/>
              <w:bottom w:val="single" w:sz="4" w:color="D8D1C4"/>
              <w:right w:val="single" w:sz="4" w:color="D8D1C4"/>
            </w:tcBorders>
            <w:vAlign w:val="top"/>
          </w:tcPr>
          <w:p>
            <w:r>
              <w:t>Rote Linien</w:t>
            </w:r>
          </w:p>
        </w:tc>
        <w:tc>
          <w:tcPr>
            <w:tcW w:type="dxa" w:w="5040"/>
            <w:tcBorders>
              <w:top w:val="single" w:sz="4" w:color="D8D1C4"/>
              <w:left w:val="single" w:sz="4" w:color="D8D1C4"/>
              <w:bottom w:val="single" w:sz="4" w:color="D8D1C4"/>
              <w:right w:val="single" w:sz="4" w:color="D8D1C4"/>
            </w:tcBorders>
            <w:vAlign w:val="top"/>
          </w:tcPr>
          <w:p>
            <w:r>
              <w:t>Verhindern Schönrechnung und Kompensation schwerer Schäden.</w:t>
            </w:r>
          </w:p>
        </w:tc>
      </w:tr>
      <w:tr>
        <w:tc>
          <w:tcPr>
            <w:tcW w:type="dxa" w:w="5040"/>
            <w:tcBorders>
              <w:top w:val="single" w:sz="4" w:color="D8D1C4"/>
              <w:left w:val="single" w:sz="4" w:color="D8D1C4"/>
              <w:bottom w:val="single" w:sz="4" w:color="D8D1C4"/>
              <w:right w:val="single" w:sz="4" w:color="D8D1C4"/>
            </w:tcBorders>
            <w:vAlign w:val="top"/>
          </w:tcPr>
          <w:p>
            <w:r>
              <w:t>Datenqualität</w:t>
            </w:r>
          </w:p>
        </w:tc>
        <w:tc>
          <w:tcPr>
            <w:tcW w:type="dxa" w:w="5040"/>
            <w:tcBorders>
              <w:top w:val="single" w:sz="4" w:color="D8D1C4"/>
              <w:left w:val="single" w:sz="4" w:color="D8D1C4"/>
              <w:bottom w:val="single" w:sz="4" w:color="D8D1C4"/>
              <w:right w:val="single" w:sz="4" w:color="D8D1C4"/>
            </w:tcBorders>
            <w:vAlign w:val="top"/>
          </w:tcPr>
          <w:p>
            <w:r>
              <w:t>Steuert Vertrauen, Prüfpflicht und Bonusfähigkeit.</w:t>
            </w:r>
          </w:p>
        </w:tc>
      </w:tr>
      <w:tr>
        <w:tc>
          <w:tcPr>
            <w:tcW w:type="dxa" w:w="5040"/>
            <w:tcBorders>
              <w:top w:val="single" w:sz="4" w:color="D8D1C4"/>
              <w:left w:val="single" w:sz="4" w:color="D8D1C4"/>
              <w:bottom w:val="single" w:sz="4" w:color="D8D1C4"/>
              <w:right w:val="single" w:sz="4" w:color="D8D1C4"/>
            </w:tcBorders>
            <w:vAlign w:val="top"/>
          </w:tcPr>
          <w:p>
            <w:r>
              <w:t>Politische Wahl</w:t>
            </w:r>
          </w:p>
        </w:tc>
        <w:tc>
          <w:tcPr>
            <w:tcW w:type="dxa" w:w="5040"/>
            <w:tcBorders>
              <w:top w:val="single" w:sz="4" w:color="D8D1C4"/>
              <w:left w:val="single" w:sz="4" w:color="D8D1C4"/>
              <w:bottom w:val="single" w:sz="4" w:color="D8D1C4"/>
              <w:right w:val="single" w:sz="4" w:color="D8D1C4"/>
            </w:tcBorders>
            <w:vAlign w:val="top"/>
          </w:tcPr>
          <w:p>
            <w:r>
              <w:t>Legt Gewichtung, Fristen, Schwellen und Zuständigkeiten fest.</w:t>
            </w:r>
          </w:p>
        </w:tc>
      </w:tr>
    </w:tbl>
    <w:p>
      <w:pPr>
        <w:pStyle w:val="Heading2"/>
      </w:pPr>
      <w:r>
        <w:t>Umsetzung und Schutz</w:t>
      </w:r>
    </w:p>
    <w:p>
      <w:r>
        <w:t>Die Umsetzung muss proportional, prüfbar und korrigierbar sein. Kleine Akteure brauchen vereinfachte Pfade; große Kapitalströme benötigen strengere Daten- und Prüfpflichten. Das Dossier ist kein automatisches Urteil, sondern eine Entscheidungsgrundlage.</w:t>
      </w:r>
    </w:p>
    <w:p>
      <w:pPr>
        <w:pStyle w:val="Heading1"/>
      </w:pPr>
      <w:r>
        <w:t>Politische Anschlussfähigkeit und Umsetzungsoptionen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Aufgabe der Politik</w:t>
            </w:r>
          </w:p>
        </w:tc>
        <w:tc>
          <w:tcPr>
            <w:tcW w:type="dxa" w:w="5040"/>
            <w:tcBorders>
              <w:top w:val="single" w:sz="4" w:color="D8D1C4"/>
              <w:left w:val="single" w:sz="4" w:color="D8D1C4"/>
              <w:bottom w:val="single" w:sz="4" w:color="D8D1C4"/>
              <w:right w:val="single" w:sz="4" w:color="D8D1C4"/>
            </w:tcBorders>
            <w:vAlign w:val="top"/>
          </w:tcPr>
          <w:p>
            <w:r>
              <w:t>Finanzmärkte müssen so gerahmt werden, dass Kapital nicht nur Rendite optimiert, sondern Risiken, Resilienz und positive Netto-Wirkung für Mensch, Planet und Demokratie berücksichtigt.</w:t>
            </w:r>
          </w:p>
        </w:tc>
      </w:tr>
      <w:tr>
        <w:tc>
          <w:tcPr>
            <w:tcW w:type="dxa" w:w="5040"/>
            <w:tcBorders>
              <w:top w:val="single" w:sz="4" w:color="D8D1C4"/>
              <w:left w:val="single" w:sz="4" w:color="D8D1C4"/>
              <w:bottom w:val="single" w:sz="4" w:color="D8D1C4"/>
              <w:right w:val="single" w:sz="4" w:color="D8D1C4"/>
            </w:tcBorders>
            <w:vAlign w:val="top"/>
          </w:tcPr>
          <w:p>
            <w:r>
              <w:t>Politische Rahmenbedingungen</w:t>
            </w:r>
          </w:p>
        </w:tc>
        <w:tc>
          <w:tcPr>
            <w:tcW w:type="dxa" w:w="5040"/>
            <w:tcBorders>
              <w:top w:val="single" w:sz="4" w:color="D8D1C4"/>
              <w:left w:val="single" w:sz="4" w:color="D8D1C4"/>
              <w:bottom w:val="single" w:sz="4" w:color="D8D1C4"/>
              <w:right w:val="single" w:sz="4" w:color="D8D1C4"/>
            </w:tcBorders>
            <w:vAlign w:val="top"/>
          </w:tcPr>
          <w:p>
            <w:r>
              <w:t>Nötig sind klare Datenstandards, proportionale Berichtspflichten, Aufsicht über ESG-/Wirkungsratings, Kredit- und Versicherungslogiken, Fondsregeln, Kapitalsteuern, öffentliche Wirkungskapitalbanken und Rechtsschutz.</w:t>
            </w:r>
          </w:p>
        </w:tc>
      </w:tr>
      <w:tr>
        <w:tc>
          <w:tcPr>
            <w:tcW w:type="dxa" w:w="5040"/>
            <w:tcBorders>
              <w:top w:val="single" w:sz="4" w:color="D8D1C4"/>
              <w:left w:val="single" w:sz="4" w:color="D8D1C4"/>
              <w:bottom w:val="single" w:sz="4" w:color="D8D1C4"/>
              <w:right w:val="single" w:sz="4" w:color="D8D1C4"/>
            </w:tcBorders>
            <w:vAlign w:val="top"/>
          </w:tcPr>
          <w:p>
            <w:r>
              <w:t>Ausgestaltungsspielraum</w:t>
            </w:r>
          </w:p>
        </w:tc>
        <w:tc>
          <w:tcPr>
            <w:tcW w:type="dxa" w:w="5040"/>
            <w:tcBorders>
              <w:top w:val="single" w:sz="4" w:color="D8D1C4"/>
              <w:left w:val="single" w:sz="4" w:color="D8D1C4"/>
              <w:bottom w:val="single" w:sz="4" w:color="D8D1C4"/>
              <w:right w:val="single" w:sz="4" w:color="D8D1C4"/>
            </w:tcBorders>
            <w:vAlign w:val="top"/>
          </w:tcPr>
          <w:p>
            <w:r>
              <w:t>Parteien können unterschiedlich gewichten: freiwillige Standards oder Pflicht, Steuer- oder Aufsichtslogik, staatliche Fonds oder private Kapitalmärkte, nationale Pilotierung oder EU-Harmonisierung.</w:t>
            </w:r>
          </w:p>
        </w:tc>
      </w:tr>
      <w:tr>
        <w:tc>
          <w:tcPr>
            <w:tcW w:type="dxa" w:w="5040"/>
            <w:tcBorders>
              <w:top w:val="single" w:sz="4" w:color="D8D1C4"/>
              <w:left w:val="single" w:sz="4" w:color="D8D1C4"/>
              <w:bottom w:val="single" w:sz="4" w:color="D8D1C4"/>
              <w:right w:val="single" w:sz="4" w:color="D8D1C4"/>
            </w:tcBorders>
            <w:vAlign w:val="top"/>
          </w:tcPr>
          <w:p>
            <w:r>
              <w:t>Zielkonflikte</w:t>
            </w:r>
          </w:p>
        </w:tc>
        <w:tc>
          <w:tcPr>
            <w:tcW w:type="dxa" w:w="5040"/>
            <w:tcBorders>
              <w:top w:val="single" w:sz="4" w:color="D8D1C4"/>
              <w:left w:val="single" w:sz="4" w:color="D8D1C4"/>
              <w:bottom w:val="single" w:sz="4" w:color="D8D1C4"/>
              <w:right w:val="single" w:sz="4" w:color="D8D1C4"/>
            </w:tcBorders>
            <w:vAlign w:val="top"/>
          </w:tcPr>
          <w:p>
            <w:r>
              <w:t>Kapitalmobilität, Standortwettbewerb, Eigentumsschutz, Finanzstabilität, Innovationsfreiheit, Datenschutz, Bürokratiereduktion und soziale Gerechtigkeit müssen austariert werden.</w:t>
            </w:r>
          </w:p>
        </w:tc>
      </w:tr>
      <w:tr>
        <w:tc>
          <w:tcPr>
            <w:tcW w:type="dxa" w:w="5040"/>
            <w:tcBorders>
              <w:top w:val="single" w:sz="4" w:color="D8D1C4"/>
              <w:left w:val="single" w:sz="4" w:color="D8D1C4"/>
              <w:bottom w:val="single" w:sz="4" w:color="D8D1C4"/>
              <w:right w:val="single" w:sz="4" w:color="D8D1C4"/>
            </w:tcBorders>
            <w:vAlign w:val="top"/>
          </w:tcPr>
          <w:p>
            <w:r>
              <w:t>Rollenverteilung</w:t>
            </w:r>
          </w:p>
        </w:tc>
        <w:tc>
          <w:tcPr>
            <w:tcW w:type="dxa" w:w="5040"/>
            <w:tcBorders>
              <w:top w:val="single" w:sz="4" w:color="D8D1C4"/>
              <w:left w:val="single" w:sz="4" w:color="D8D1C4"/>
              <w:bottom w:val="single" w:sz="4" w:color="D8D1C4"/>
              <w:right w:val="single" w:sz="4" w:color="D8D1C4"/>
            </w:tcBorders>
            <w:vAlign w:val="top"/>
          </w:tcPr>
          <w:p>
            <w:r>
              <w:t>EU, Bund, BaFin/EZB/EBA/EIOPA/ESMA, Länder, Kommunen, Banken, Versicherungen, Pensionskassen, Investoren, Unternehmen, Wissenschaft und Zivilgesellschaft tragen unterschiedliche Aufgaben.</w:t>
            </w:r>
          </w:p>
        </w:tc>
      </w:tr>
      <w:tr>
        <w:tc>
          <w:tcPr>
            <w:tcW w:type="dxa" w:w="5040"/>
            <w:tcBorders>
              <w:top w:val="single" w:sz="4" w:color="D8D1C4"/>
              <w:left w:val="single" w:sz="4" w:color="D8D1C4"/>
              <w:bottom w:val="single" w:sz="4" w:color="D8D1C4"/>
              <w:right w:val="single" w:sz="4" w:color="D8D1C4"/>
            </w:tcBorders>
            <w:vAlign w:val="top"/>
          </w:tcPr>
          <w:p>
            <w:r>
              <w:t>Übergang und Schutz</w:t>
            </w:r>
          </w:p>
        </w:tc>
        <w:tc>
          <w:tcPr>
            <w:tcW w:type="dxa" w:w="5040"/>
            <w:tcBorders>
              <w:top w:val="single" w:sz="4" w:color="D8D1C4"/>
              <w:left w:val="single" w:sz="4" w:color="D8D1C4"/>
              <w:bottom w:val="single" w:sz="4" w:color="D8D1C4"/>
              <w:right w:val="single" w:sz="4" w:color="D8D1C4"/>
            </w:tcBorders>
            <w:vAlign w:val="top"/>
          </w:tcPr>
          <w:p>
            <w:r>
              <w:t>KMU, Sparkassen, Genossenschaftsbanken, Sozialunternehmen und Haushalte brauchen Übergangsfristen, einfache Datenpfade, Härtefallregeln, Anti-Greenwashing-Schutz und demokratische Korrekturwege.</w:t>
            </w:r>
          </w:p>
        </w:tc>
      </w:tr>
      <w:tr>
        <w:tc>
          <w:tcPr>
            <w:tcW w:type="dxa" w:w="5040"/>
            <w:tcBorders>
              <w:top w:val="single" w:sz="4" w:color="D8D1C4"/>
              <w:left w:val="single" w:sz="4" w:color="D8D1C4"/>
              <w:bottom w:val="single" w:sz="4" w:color="D8D1C4"/>
              <w:right w:val="single" w:sz="4" w:color="D8D1C4"/>
            </w:tcBorders>
            <w:vAlign w:val="top"/>
          </w:tcPr>
          <w:p>
            <w:r>
              <w:t>Evaluation und Korrektur</w:t>
            </w:r>
          </w:p>
        </w:tc>
        <w:tc>
          <w:tcPr>
            <w:tcW w:type="dxa" w:w="5040"/>
            <w:tcBorders>
              <w:top w:val="single" w:sz="4" w:color="D8D1C4"/>
              <w:left w:val="single" w:sz="4" w:color="D8D1C4"/>
              <w:bottom w:val="single" w:sz="4" w:color="D8D1C4"/>
              <w:right w:val="single" w:sz="4" w:color="D8D1C4"/>
            </w:tcBorders>
            <w:vAlign w:val="top"/>
          </w:tcPr>
          <w:p>
            <w:r>
              <w:t>Wirkungsberichte, Stresstests, Revisionszyklen, Wirkungsrat, öffentliche Konsultation, unabhängige Assurance und Fehlerkultur halten das System lernfähig.</w:t>
            </w:r>
          </w:p>
        </w:tc>
      </w:tr>
      <w:tr>
        <w:tc>
          <w:tcPr>
            <w:tcW w:type="dxa" w:w="5040"/>
            <w:tcBorders>
              <w:top w:val="single" w:sz="4" w:color="D8D1C4"/>
              <w:left w:val="single" w:sz="4" w:color="D8D1C4"/>
              <w:bottom w:val="single" w:sz="4" w:color="D8D1C4"/>
              <w:right w:val="single" w:sz="4" w:color="D8D1C4"/>
            </w:tcBorders>
            <w:vAlign w:val="top"/>
          </w:tcPr>
          <w:p>
            <w:r>
              <w:t>Parteipolitische Anschlussfähigkeit</w:t>
            </w:r>
          </w:p>
        </w:tc>
        <w:tc>
          <w:tcPr>
            <w:tcW w:type="dxa" w:w="5040"/>
            <w:tcBorders>
              <w:top w:val="single" w:sz="4" w:color="D8D1C4"/>
              <w:left w:val="single" w:sz="4" w:color="D8D1C4"/>
              <w:bottom w:val="single" w:sz="4" w:color="D8D1C4"/>
              <w:right w:val="single" w:sz="4" w:color="D8D1C4"/>
            </w:tcBorders>
            <w:vAlign w:val="top"/>
          </w:tcPr>
          <w:p>
            <w:r>
              <w:t>Konservative, liberale, sozialdemokratische, grüne, linke, kommunale und wirtschaftsnahe Ansätze können jeweils eigene Wege wählen, solange Wirkung sichtbar, überprüfbar und korrigierbar bleibt.</w:t>
            </w:r>
          </w:p>
        </w:tc>
      </w:tr>
      <w:tr>
        <w:tc>
          <w:tcPr>
            <w:tcW w:type="dxa" w:w="5040"/>
            <w:tcBorders>
              <w:top w:val="single" w:sz="4" w:color="D8D1C4"/>
              <w:left w:val="single" w:sz="4" w:color="D8D1C4"/>
              <w:bottom w:val="single" w:sz="4" w:color="D8D1C4"/>
              <w:right w:val="single" w:sz="4" w:color="D8D1C4"/>
            </w:tcBorders>
            <w:vAlign w:val="top"/>
          </w:tcPr>
          <w:p>
            <w:r>
              <w:t>Schutz vor Technokratie</w:t>
            </w:r>
          </w:p>
        </w:tc>
        <w:tc>
          <w:tcPr>
            <w:tcW w:type="dxa" w:w="5040"/>
            <w:tcBorders>
              <w:top w:val="single" w:sz="4" w:color="D8D1C4"/>
              <w:left w:val="single" w:sz="4" w:color="D8D1C4"/>
              <w:bottom w:val="single" w:sz="4" w:color="D8D1C4"/>
              <w:right w:val="single" w:sz="4" w:color="D8D1C4"/>
            </w:tcBorders>
            <w:vAlign w:val="top"/>
          </w:tcPr>
          <w:p>
            <w:r>
              <w:t>Wirkungsdaten bereiten Entscheidungen vor, ersetzen sie aber nicht. Normative Entscheidungen bleiben demokratisch legitimiert.</w:t>
            </w:r>
          </w:p>
        </w:tc>
      </w:tr>
    </w:tbl>
    <w:p>
      <w:pPr>
        <w:pStyle w:val="Heading1"/>
      </w:pPr>
      <w:r>
        <w:t>SDG-/SDG+-Bezug</w:t>
      </w:r>
    </w:p>
    <w:p>
      <w:r>
        <w:t>Besonders relevant sind SDG 8, 9, 10, 11, 12, 13, 16 und 17 sowie SDG+ Demokratie, Medienqualität, Rechtsstaatlichkeit, institutionelles Vertrauen, gesellschaftlicher Zusammenhalt und digitale Selbstbestimmung. Finanzsystem &amp; Kapital wirkt als Querschnitt, weil Kapital nahezu jedes SDG entweder ermöglicht oder blockiert.</w:t>
      </w:r>
    </w:p>
    <w:p>
      <w:pPr>
        <w:pStyle w:val="Heading1"/>
      </w:pPr>
      <w:r>
        <w:t>Anker im Online-Buch</w:t>
      </w:r>
    </w:p>
    <w:p>
      <w:pPr>
        <w:pStyle w:val="ListBullet"/>
      </w:pPr>
      <w:r>
        <w:t>Kapitel 3: Kapital als Werkzeug und falscher Kompass</w:t>
      </w:r>
    </w:p>
    <w:p>
      <w:pPr>
        <w:pStyle w:val="ListBullet"/>
      </w:pPr>
      <w:r>
        <w:t>Kapitel 17: Wirkungsökonomie im Vergleich</w:t>
      </w:r>
    </w:p>
    <w:p>
      <w:pPr>
        <w:pStyle w:val="ListBullet"/>
      </w:pPr>
      <w:r>
        <w:t>Kapitel 18: Wirkungsordnungen</w:t>
      </w:r>
    </w:p>
    <w:p>
      <w:pPr>
        <w:pStyle w:val="ListBullet"/>
      </w:pPr>
      <w:r>
        <w:t>Kapitel 34: T-SROI</w:t>
      </w:r>
    </w:p>
    <w:p>
      <w:pPr>
        <w:pStyle w:val="ListBullet"/>
      </w:pPr>
      <w:r>
        <w:t>Kapitel 37-40: WStG, WUStG, Wirkungshaushalt, Wirkungsrat</w:t>
      </w:r>
    </w:p>
    <w:p>
      <w:pPr>
        <w:pStyle w:val="ListBullet"/>
      </w:pPr>
      <w:r>
        <w:t>Kapitel 58: Wirkungsrente</w:t>
      </w:r>
    </w:p>
    <w:p>
      <w:pPr>
        <w:pStyle w:val="ListBullet"/>
      </w:pPr>
      <w:r>
        <w:t>Kapitel 59: Finanzsystem &amp; Kapital</w:t>
      </w:r>
    </w:p>
    <w:p>
      <w:pPr>
        <w:pStyle w:val="ListBullet"/>
      </w:pPr>
      <w:r>
        <w:t>Kapitel 98: Wirkungsfonds und Datenräume</w:t>
      </w:r>
    </w:p>
    <w:p>
      <w:pPr>
        <w:pStyle w:val="Heading1"/>
      </w:pPr>
      <w:r>
        <w:t>Quellen und Referenzrahmen</w:t>
      </w:r>
    </w:p>
    <w:p>
      <w:r>
        <w:t>Die folgenden Quellen bilden den öffentlichen und internen Referenzrahmen. Die Wirkungsökonomie nutzt sie nicht als bloße Berichtswelt, sondern als Anschluss an Daten, Risiko, Kapitalzugang, Steuerlogik und demokratische Korrektur.</w:t>
      </w:r>
    </w:p>
    <w:p>
      <w:pPr>
        <w:pStyle w:val="ListBullet"/>
      </w:pPr>
      <w:r>
        <w:t xml:space="preserve">European Banking Authority (EBA), Final Guidelines on the management of ESG risks, 2025. </w:t>
      </w:r>
      <w:hyperlink r:id="rId11">
        <w:r>
          <w:rPr>
            <w:color w:val="2E7D5C"/>
            <w:u w:val="single"/>
          </w:rPr>
          <w:t>https://www.eba.europa.eu/publications-and-media/press-releases/eba-publishes-its-final-guidelines-management-esg-risks</w:t>
        </w:r>
      </w:hyperlink>
    </w:p>
    <w:p>
      <w:pPr>
        <w:pStyle w:val="ListBullet"/>
      </w:pPr>
      <w:r>
        <w:t xml:space="preserve">European Commission, Corporate sustainability reporting / CSRD / ESRS. </w:t>
      </w:r>
      <w:hyperlink r:id="rId12">
        <w:r>
          <w:rPr>
            <w:color w:val="2E7D5C"/>
            <w:u w:val="single"/>
          </w:rPr>
          <w:t>https://finance.ec.europa.eu/financial-markets/company-reporting-and-auditing/company-reporting/corporate-sustainability-reporting_en</w:t>
        </w:r>
      </w:hyperlink>
    </w:p>
    <w:p>
      <w:pPr>
        <w:pStyle w:val="ListBullet"/>
      </w:pPr>
      <w:r>
        <w:t xml:space="preserve">European Commission, EU taxonomy for sustainable activities. </w:t>
      </w:r>
      <w:hyperlink r:id="rId13">
        <w:r>
          <w:rPr>
            <w:color w:val="2E7D5C"/>
            <w:u w:val="single"/>
          </w:rPr>
          <w:t>https://finance.ec.europa.eu/sustainable-finance/tools-and-standards/eu-taxonomy-sustainable-activities_en</w:t>
        </w:r>
      </w:hyperlink>
    </w:p>
    <w:p>
      <w:pPr>
        <w:pStyle w:val="ListBullet"/>
      </w:pPr>
      <w:r>
        <w:t xml:space="preserve">European Commission, Sustainable Finance Disclosure Regulation (SFDR) and revision. </w:t>
      </w:r>
      <w:hyperlink r:id="rId14">
        <w:r>
          <w:rPr>
            <w:color w:val="2E7D5C"/>
            <w:u w:val="single"/>
          </w:rPr>
          <w:t>https://finance.ec.europa.eu/sustainable-finance/disclosures/sustainability-related-disclosure-financial-services-sector_en</w:t>
        </w:r>
      </w:hyperlink>
    </w:p>
    <w:p>
      <w:pPr>
        <w:pStyle w:val="ListBullet"/>
      </w:pPr>
      <w:r>
        <w:t xml:space="preserve">ESMA, ESG Rating Providers and ESG Rating Regulation. </w:t>
      </w:r>
      <w:hyperlink r:id="rId15">
        <w:r>
          <w:rPr>
            <w:color w:val="2E7D5C"/>
            <w:u w:val="single"/>
          </w:rPr>
          <w:t>https://www.esma.europa.eu/esmas-activities/investors-and-issuers/esg-rating-providers</w:t>
        </w:r>
      </w:hyperlink>
    </w:p>
    <w:p>
      <w:pPr>
        <w:pStyle w:val="ListBullet"/>
      </w:pPr>
      <w:r>
        <w:t xml:space="preserve">EIOPA, Sustainable finance and climate insurance protection gaps. </w:t>
      </w:r>
      <w:hyperlink r:id="rId16">
        <w:r>
          <w:rPr>
            <w:color w:val="2E7D5C"/>
            <w:u w:val="single"/>
          </w:rPr>
          <w:t>https://www.eiopa.europa.eu/publications/sustainable-finance-past-current-and-future-supervisory-priority-eiopa_en</w:t>
        </w:r>
      </w:hyperlink>
    </w:p>
    <w:p>
      <w:pPr>
        <w:pStyle w:val="ListBullet"/>
      </w:pPr>
      <w:r>
        <w:t xml:space="preserve">EIOPA, Insurance protection gaps in a changing climate, 2026. </w:t>
      </w:r>
      <w:hyperlink r:id="rId17">
        <w:r>
          <w:rPr>
            <w:color w:val="2E7D5C"/>
            <w:u w:val="single"/>
          </w:rPr>
          <w:t>https://www.eiopa.europa.eu/insurance-protection-gaps-changing-climate-2026-04-16_en</w:t>
        </w:r>
      </w:hyperlink>
    </w:p>
    <w:p>
      <w:pPr>
        <w:pStyle w:val="ListBullet"/>
      </w:pPr>
      <w:r>
        <w:t xml:space="preserve">NGFS, climate-related and environmental financial risks. </w:t>
      </w:r>
      <w:hyperlink r:id="rId18">
        <w:r>
          <w:rPr>
            <w:color w:val="2E7D5C"/>
            <w:u w:val="single"/>
          </w:rPr>
          <w:t>https://www.ngfs.net</w:t>
        </w:r>
      </w:hyperlink>
    </w:p>
    <w:p>
      <w:pPr>
        <w:pStyle w:val="ListBullet"/>
      </w:pPr>
      <w:r>
        <w:t xml:space="preserve">Natalie Weber, Die neue Ordnung des Wohlstands, 2026, Kapitel 3, 59, 98. </w:t>
      </w:r>
      <w:r>
        <w:t>Interne WÖk-Quelle</w:t>
      </w:r>
    </w:p>
    <w:p>
      <w:pPr>
        <w:pStyle w:val="ListBullet"/>
      </w:pPr>
      <w:r>
        <w:t xml:space="preserve">Natalie Weber, Systemmodell der Wirkungsökonomie, Spalte Finanzsystem &amp; Kapital. </w:t>
      </w:r>
      <w:r>
        <w:t>Interne WÖk-Quelle</w:t>
      </w:r>
    </w:p>
    <w:p>
      <w:pPr>
        <w:pStyle w:val="ListBullet"/>
      </w:pPr>
      <w:r>
        <w:t xml:space="preserve">Natalie Weber, Whitepaper T-SROI, 2025. </w:t>
      </w:r>
      <w:r>
        <w:t>Interne WÖk-Quelle</w:t>
      </w:r>
    </w:p>
    <w:p>
      <w:pPr>
        <w:pStyle w:val="ListBullet"/>
      </w:pPr>
      <w:r>
        <w:t xml:space="preserve">Natalie Weber, WStG Oktober 2025 und WUStG-Leitlinien. </w:t>
      </w:r>
      <w:r>
        <w:t>Interne WÖk-Quelle</w:t>
      </w:r>
    </w:p>
    <w:p>
      <w:pPr>
        <w:pStyle w:val="ListBullet"/>
      </w:pPr>
      <w:r>
        <w:t xml:space="preserve">Natalie Weber, Wenn Maschinen arbeiten, 2025. </w:t>
      </w:r>
      <w:r>
        <w:t>Interne WÖk-Quelle</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E6E6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6"/>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6"/>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eba.europa.eu/publications-and-media/press-releases/eba-publishes-its-final-guidelines-management-esg-risks" TargetMode="External"/><Relationship Id="rId12" Type="http://schemas.openxmlformats.org/officeDocument/2006/relationships/hyperlink" Target="https://finance.ec.europa.eu/financial-markets/company-reporting-and-auditing/company-reporting/corporate-sustainability-reporting_en"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finance.ec.europa.eu/sustainable-finance/disclosures/sustainability-related-disclosure-financial-services-sector_en" TargetMode="External"/><Relationship Id="rId15" Type="http://schemas.openxmlformats.org/officeDocument/2006/relationships/hyperlink" Target="https://www.esma.europa.eu/esmas-activities/investors-and-issuers/esg-rating-providers" TargetMode="External"/><Relationship Id="rId16" Type="http://schemas.openxmlformats.org/officeDocument/2006/relationships/hyperlink" Target="https://www.eiopa.europa.eu/publications/sustainable-finance-past-current-and-future-supervisory-priority-eiopa_en" TargetMode="External"/><Relationship Id="rId17" Type="http://schemas.openxmlformats.org/officeDocument/2006/relationships/hyperlink" Target="https://www.eiopa.europa.eu/insurance-protection-gaps-changing-climate-2026-04-16_en" TargetMode="External"/><Relationship Id="rId18" Type="http://schemas.openxmlformats.org/officeDocument/2006/relationships/hyperlink" Target="https://www.ngf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