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Georgia" w:hAnsi="Georgia"/>
          <w:b/>
          <w:color w:val="0B1026"/>
          <w:sz w:val="28"/>
        </w:rPr>
        <w:t>WIRKUNGSÖKONOMIE</w:t>
      </w:r>
    </w:p>
    <w:p>
      <w:pPr>
        <w:jc w:val="center"/>
      </w:pPr>
      <w:r>
        <w:rPr>
          <w:rFonts w:ascii="Arial" w:hAnsi="Arial"/>
          <w:color w:val="C89B3C"/>
          <w:sz w:val="16"/>
        </w:rPr>
        <w:t>FÜR MENSCH, PLANET UND DEMOKRATIE</w:t>
      </w:r>
    </w:p>
    <w:p/>
    <w:p>
      <w:pPr>
        <w:jc w:val="center"/>
      </w:pPr>
      <w:r>
        <w:rPr>
          <w:rFonts w:ascii="Georgia" w:hAnsi="Georgia"/>
          <w:b/>
          <w:color w:val="0B1026"/>
          <w:sz w:val="54"/>
        </w:rPr>
        <w:t>Finanzsystem &amp; Kapital</w:t>
      </w:r>
    </w:p>
    <w:p>
      <w:pPr>
        <w:jc w:val="center"/>
      </w:pPr>
      <w:r>
        <w:rPr>
          <w:rFonts w:ascii="Arial" w:hAnsi="Arial"/>
          <w:color w:val="2E342C"/>
          <w:sz w:val="26"/>
        </w:rPr>
        <w:t>Gesamtdossier: Beispiele, Berechnungen, Datenquellen, Fonds- und Tool-Logik</w:t>
      </w:r>
    </w:p>
    <w:p/>
    <w:tbl>
      <w:tblPr>
        <w:tblW w:type="auto" w:w="0"/>
        <w:jc w:val="center"/>
        <w:tblLook w:firstColumn="1" w:firstRow="1" w:lastColumn="0" w:lastRow="0" w:noHBand="0" w:noVBand="1" w:val="04A0"/>
      </w:tblPr>
      <w:tblGrid>
        <w:gridCol w:w="5040"/>
        <w:gridCol w:w="5040"/>
      </w:tblGrid>
      <w:tr>
        <w:tc>
          <w:tcPr>
            <w:tcW w:type="dxa" w:w="5040"/>
            <w:tcBorders>
              <w:top w:val="single" w:sz="4" w:color="D8D1C4"/>
              <w:left w:val="single" w:sz="4" w:color="D8D1C4"/>
              <w:bottom w:val="single" w:sz="4" w:color="D8D1C4"/>
              <w:right w:val="single" w:sz="4" w:color="D8D1C4"/>
            </w:tcBorders>
            <w:vAlign w:val="center"/>
            <w:shd w:fill="F6F1E8"/>
          </w:tcPr>
          <w:p>
            <w:r>
              <w:t>Autorin</w:t>
            </w:r>
          </w:p>
        </w:tc>
        <w:tc>
          <w:tcPr>
            <w:tcW w:type="dxa" w:w="5040"/>
            <w:tcBorders>
              <w:top w:val="single" w:sz="4" w:color="D8D1C4"/>
              <w:left w:val="single" w:sz="4" w:color="D8D1C4"/>
              <w:bottom w:val="single" w:sz="4" w:color="D8D1C4"/>
              <w:right w:val="single" w:sz="4" w:color="D8D1C4"/>
            </w:tcBorders>
            <w:vAlign w:val="center"/>
          </w:tcPr>
          <w:p>
            <w:r>
              <w:t>Natalie Weber</w:t>
            </w:r>
          </w:p>
        </w:tc>
      </w:tr>
      <w:tr>
        <w:tc>
          <w:tcPr>
            <w:tcW w:type="dxa" w:w="5040"/>
            <w:tcBorders>
              <w:top w:val="single" w:sz="4" w:color="D8D1C4"/>
              <w:left w:val="single" w:sz="4" w:color="D8D1C4"/>
              <w:bottom w:val="single" w:sz="4" w:color="D8D1C4"/>
              <w:right w:val="single" w:sz="4" w:color="D8D1C4"/>
            </w:tcBorders>
            <w:vAlign w:val="center"/>
            <w:shd w:fill="F6F1E8"/>
          </w:tcPr>
          <w:p>
            <w:r>
              <w:t>Referenz</w:t>
            </w:r>
          </w:p>
        </w:tc>
        <w:tc>
          <w:tcPr>
            <w:tcW w:type="dxa" w:w="5040"/>
            <w:tcBorders>
              <w:top w:val="single" w:sz="4" w:color="D8D1C4"/>
              <w:left w:val="single" w:sz="4" w:color="D8D1C4"/>
              <w:bottom w:val="single" w:sz="4" w:color="D8D1C4"/>
              <w:right w:val="single" w:sz="4" w:color="D8D1C4"/>
            </w:tcBorders>
            <w:vAlign w:val="center"/>
          </w:tcPr>
          <w:p>
            <w:r>
              <w:t>Wirkungsökonomie</w:t>
            </w:r>
          </w:p>
        </w:tc>
      </w:tr>
      <w:tr>
        <w:tc>
          <w:tcPr>
            <w:tcW w:type="dxa" w:w="5040"/>
            <w:tcBorders>
              <w:top w:val="single" w:sz="4" w:color="D8D1C4"/>
              <w:left w:val="single" w:sz="4" w:color="D8D1C4"/>
              <w:bottom w:val="single" w:sz="4" w:color="D8D1C4"/>
              <w:right w:val="single" w:sz="4" w:color="D8D1C4"/>
            </w:tcBorders>
            <w:vAlign w:val="center"/>
            <w:shd w:fill="F6F1E8"/>
          </w:tcPr>
          <w:p>
            <w:r>
              <w:t>Version</w:t>
            </w:r>
          </w:p>
        </w:tc>
        <w:tc>
          <w:tcPr>
            <w:tcW w:type="dxa" w:w="5040"/>
            <w:tcBorders>
              <w:top w:val="single" w:sz="4" w:color="D8D1C4"/>
              <w:left w:val="single" w:sz="4" w:color="D8D1C4"/>
              <w:bottom w:val="single" w:sz="4" w:color="D8D1C4"/>
              <w:right w:val="single" w:sz="4" w:color="D8D1C4"/>
            </w:tcBorders>
            <w:vAlign w:val="center"/>
          </w:tcPr>
          <w:p>
            <w:r>
              <w:t>v0.1</w:t>
            </w:r>
          </w:p>
        </w:tc>
      </w:tr>
      <w:tr>
        <w:tc>
          <w:tcPr>
            <w:tcW w:type="dxa" w:w="5040"/>
            <w:tcBorders>
              <w:top w:val="single" w:sz="4" w:color="D8D1C4"/>
              <w:left w:val="single" w:sz="4" w:color="D8D1C4"/>
              <w:bottom w:val="single" w:sz="4" w:color="D8D1C4"/>
              <w:right w:val="single" w:sz="4" w:color="D8D1C4"/>
            </w:tcBorders>
            <w:vAlign w:val="center"/>
            <w:shd w:fill="F6F1E8"/>
          </w:tcPr>
          <w:p>
            <w:r>
              <w:t>Status</w:t>
            </w:r>
          </w:p>
        </w:tc>
        <w:tc>
          <w:tcPr>
            <w:tcW w:type="dxa" w:w="5040"/>
            <w:tcBorders>
              <w:top w:val="single" w:sz="4" w:color="D8D1C4"/>
              <w:left w:val="single" w:sz="4" w:color="D8D1C4"/>
              <w:bottom w:val="single" w:sz="4" w:color="D8D1C4"/>
              <w:right w:val="single" w:sz="4" w:color="D8D1C4"/>
            </w:tcBorders>
            <w:vAlign w:val="center"/>
          </w:tcPr>
          <w:p>
            <w:r>
              <w:t>Gesamtdossier · Arbeitsfassung</w:t>
            </w:r>
          </w:p>
        </w:tc>
      </w:tr>
      <w:tr>
        <w:tc>
          <w:tcPr>
            <w:tcW w:type="dxa" w:w="5040"/>
            <w:tcBorders>
              <w:top w:val="single" w:sz="4" w:color="D8D1C4"/>
              <w:left w:val="single" w:sz="4" w:color="D8D1C4"/>
              <w:bottom w:val="single" w:sz="4" w:color="D8D1C4"/>
              <w:right w:val="single" w:sz="4" w:color="D8D1C4"/>
            </w:tcBorders>
            <w:vAlign w:val="center"/>
            <w:shd w:fill="F6F1E8"/>
          </w:tcPr>
          <w:p>
            <w:r>
              <w:t>Stand</w:t>
            </w:r>
          </w:p>
        </w:tc>
        <w:tc>
          <w:tcPr>
            <w:tcW w:type="dxa" w:w="5040"/>
            <w:tcBorders>
              <w:top w:val="single" w:sz="4" w:color="D8D1C4"/>
              <w:left w:val="single" w:sz="4" w:color="D8D1C4"/>
              <w:bottom w:val="single" w:sz="4" w:color="D8D1C4"/>
              <w:right w:val="single" w:sz="4" w:color="D8D1C4"/>
            </w:tcBorders>
            <w:vAlign w:val="center"/>
          </w:tcPr>
          <w:p>
            <w:r>
              <w:t>Mai 2026</w:t>
            </w:r>
          </w:p>
        </w:tc>
      </w:tr>
    </w:tbl>
    <w:p>
      <w:r>
        <w:br w:type="page"/>
      </w:r>
    </w:p>
    <w:p>
      <w:pPr>
        <w:pStyle w:val="Heading1"/>
      </w:pPr>
      <w:r>
        <w:t>Executive Summary</w:t>
      </w:r>
    </w:p>
    <w:p>
      <w:r>
        <w:t>Dieses Dossier übersetzt das Konzept Finanzsystem &amp; Kapital in konkrete Modelllogiken, Beispielrechnungen, Datenquellen und Tool-Module. Es ist kein Anlage-, Steuer- oder Rechtsrat, sondern eine wirkungsökonomische Demonstration, wie Kapitalwirkung sichtbar und steuerbar werden kann.</w:t>
      </w:r>
    </w:p>
    <w:tbl>
      <w:tblPr>
        <w:tblW w:type="auto" w:w="0"/>
        <w:jc w:val="center"/>
        <w:tblLook w:firstColumn="1" w:firstRow="1" w:lastColumn="0" w:lastRow="0" w:noHBand="0" w:noVBand="1" w:val="04A0"/>
      </w:tblPr>
      <w:tblGrid>
        <w:gridCol w:w="10080"/>
      </w:tblGrid>
      <w:tr>
        <w:tc>
          <w:tcPr>
            <w:tcW w:type="dxa" w:w="10080"/>
            <w:shd w:fill="F6F1E8"/>
            <w:tcBorders>
              <w:top w:val="single" w:sz="6" w:color="D8D1C4"/>
              <w:left w:val="single" w:sz="6" w:color="D8D1C4"/>
              <w:bottom w:val="single" w:sz="6" w:color="D8D1C4"/>
              <w:right w:val="single" w:sz="6" w:color="D8D1C4"/>
            </w:tcBorders>
          </w:tcPr>
          <w:p>
            <w:r>
              <w:rPr>
                <w:rFonts w:ascii="Arial" w:hAnsi="Arial"/>
                <w:b/>
                <w:color w:val="2E7D5C"/>
                <w:sz w:val="20"/>
              </w:rPr>
              <w:t>Nicht-amtlicher Modellhinweis</w:t>
            </w:r>
          </w:p>
          <w:p>
            <w:pPr>
              <w:spacing w:after="60"/>
            </w:pPr>
            <w:r>
              <w:t>Alle Zahlen und Berechnungen in diesem Dossier sind Arbeitsannahmen v0.1. Sie dienen der Strukturierung von Wirkungslogik, nicht der amtlichen Bewertung von Anlagen, Krediten oder Fonds.</w:t>
            </w:r>
          </w:p>
        </w:tc>
      </w:tr>
    </w:tbl>
    <w:p>
      <w:pPr>
        <w:pStyle w:val="Heading1"/>
      </w:pPr>
      <w:r>
        <w:t>1. Datenquellen und Anschlussfähigkeit</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WÖk-interne Daten</w:t>
            </w:r>
          </w:p>
        </w:tc>
        <w:tc>
          <w:tcPr>
            <w:tcW w:type="dxa" w:w="5040"/>
            <w:tcBorders>
              <w:top w:val="single" w:sz="4" w:color="D8D1C4"/>
              <w:left w:val="single" w:sz="4" w:color="D8D1C4"/>
              <w:bottom w:val="single" w:sz="4" w:color="D8D1C4"/>
              <w:right w:val="single" w:sz="4" w:color="D8D1C4"/>
            </w:tcBorders>
            <w:vAlign w:val="top"/>
          </w:tcPr>
          <w:p>
            <w:r>
              <w:t>WÖk-IDs, Scorecards, NWI, Reverse Merit Order, T-SROI, WStG, WUStG, WEstG, Wirkungsfondslogik.</w:t>
            </w:r>
          </w:p>
        </w:tc>
      </w:tr>
      <w:tr>
        <w:tc>
          <w:tcPr>
            <w:tcW w:type="dxa" w:w="5040"/>
            <w:tcBorders>
              <w:top w:val="single" w:sz="4" w:color="D8D1C4"/>
              <w:left w:val="single" w:sz="4" w:color="D8D1C4"/>
              <w:bottom w:val="single" w:sz="4" w:color="D8D1C4"/>
              <w:right w:val="single" w:sz="4" w:color="D8D1C4"/>
            </w:tcBorders>
            <w:vAlign w:val="top"/>
          </w:tcPr>
          <w:p>
            <w:r>
              <w:t>Unternehmensdaten</w:t>
            </w:r>
          </w:p>
        </w:tc>
        <w:tc>
          <w:tcPr>
            <w:tcW w:type="dxa" w:w="5040"/>
            <w:tcBorders>
              <w:top w:val="single" w:sz="4" w:color="D8D1C4"/>
              <w:left w:val="single" w:sz="4" w:color="D8D1C4"/>
              <w:bottom w:val="single" w:sz="4" w:color="D8D1C4"/>
              <w:right w:val="single" w:sz="4" w:color="D8D1C4"/>
            </w:tcBorders>
            <w:vAlign w:val="top"/>
          </w:tcPr>
          <w:p>
            <w:r>
              <w:t>CSRD/ESRS, GRI, EU-Taxonomie, Lieferketteninformationen, Produktpässe, EPDs, LCA, Betriebsdaten, Scope-1/2/3-Daten.</w:t>
            </w:r>
          </w:p>
        </w:tc>
      </w:tr>
      <w:tr>
        <w:tc>
          <w:tcPr>
            <w:tcW w:type="dxa" w:w="5040"/>
            <w:tcBorders>
              <w:top w:val="single" w:sz="4" w:color="D8D1C4"/>
              <w:left w:val="single" w:sz="4" w:color="D8D1C4"/>
              <w:bottom w:val="single" w:sz="4" w:color="D8D1C4"/>
              <w:right w:val="single" w:sz="4" w:color="D8D1C4"/>
            </w:tcBorders>
            <w:vAlign w:val="top"/>
          </w:tcPr>
          <w:p>
            <w:r>
              <w:t>Finanzdaten</w:t>
            </w:r>
          </w:p>
        </w:tc>
        <w:tc>
          <w:tcPr>
            <w:tcW w:type="dxa" w:w="5040"/>
            <w:tcBorders>
              <w:top w:val="single" w:sz="4" w:color="D8D1C4"/>
              <w:left w:val="single" w:sz="4" w:color="D8D1C4"/>
              <w:bottom w:val="single" w:sz="4" w:color="D8D1C4"/>
              <w:right w:val="single" w:sz="4" w:color="D8D1C4"/>
            </w:tcBorders>
            <w:vAlign w:val="top"/>
          </w:tcPr>
          <w:p>
            <w:r>
              <w:t>Kreditdaten, Zinskosten, Ausfallwahrscheinlichkeiten, Eigenkapitalunterlegung, Versicherungsprämien, Fondsallokation, Portfolio-Gewichte.</w:t>
            </w:r>
          </w:p>
        </w:tc>
      </w:tr>
      <w:tr>
        <w:tc>
          <w:tcPr>
            <w:tcW w:type="dxa" w:w="5040"/>
            <w:tcBorders>
              <w:top w:val="single" w:sz="4" w:color="D8D1C4"/>
              <w:left w:val="single" w:sz="4" w:color="D8D1C4"/>
              <w:bottom w:val="single" w:sz="4" w:color="D8D1C4"/>
              <w:right w:val="single" w:sz="4" w:color="D8D1C4"/>
            </w:tcBorders>
            <w:vAlign w:val="top"/>
          </w:tcPr>
          <w:p>
            <w:r>
              <w:t>Risiko- und Resilienzdaten</w:t>
            </w:r>
          </w:p>
        </w:tc>
        <w:tc>
          <w:tcPr>
            <w:tcW w:type="dxa" w:w="5040"/>
            <w:tcBorders>
              <w:top w:val="single" w:sz="4" w:color="D8D1C4"/>
              <w:left w:val="single" w:sz="4" w:color="D8D1C4"/>
              <w:bottom w:val="single" w:sz="4" w:color="D8D1C4"/>
              <w:right w:val="single" w:sz="4" w:color="D8D1C4"/>
            </w:tcBorders>
            <w:vAlign w:val="top"/>
          </w:tcPr>
          <w:p>
            <w:r>
              <w:t>Klimaszenarien, Naturgefahren, Standortdaten, Lieferkettenrisiko, Versicherungsdeckung, soziale Stabilität, Demokratie- und Governance-Indikatoren.</w:t>
            </w:r>
          </w:p>
        </w:tc>
      </w:tr>
      <w:tr>
        <w:tc>
          <w:tcPr>
            <w:tcW w:type="dxa" w:w="5040"/>
            <w:tcBorders>
              <w:top w:val="single" w:sz="4" w:color="D8D1C4"/>
              <w:left w:val="single" w:sz="4" w:color="D8D1C4"/>
              <w:bottom w:val="single" w:sz="4" w:color="D8D1C4"/>
              <w:right w:val="single" w:sz="4" w:color="D8D1C4"/>
            </w:tcBorders>
            <w:vAlign w:val="top"/>
          </w:tcPr>
          <w:p>
            <w:r>
              <w:t>Öffentliche Daten</w:t>
            </w:r>
          </w:p>
        </w:tc>
        <w:tc>
          <w:tcPr>
            <w:tcW w:type="dxa" w:w="5040"/>
            <w:tcBorders>
              <w:top w:val="single" w:sz="4" w:color="D8D1C4"/>
              <w:left w:val="single" w:sz="4" w:color="D8D1C4"/>
              <w:bottom w:val="single" w:sz="4" w:color="D8D1C4"/>
              <w:right w:val="single" w:sz="4" w:color="D8D1C4"/>
            </w:tcBorders>
            <w:vAlign w:val="top"/>
          </w:tcPr>
          <w:p>
            <w:r>
              <w:t>Destatis, Eurostat, EBA, EIOPA, ESMA, EU-Kommission, NGFS, OECD, UN-SDG-Indikatoren.</w:t>
            </w:r>
          </w:p>
        </w:tc>
      </w:tr>
    </w:tbl>
    <w:p>
      <w:pPr>
        <w:pStyle w:val="Heading1"/>
      </w:pPr>
      <w:r>
        <w:t>2. Beispielrechnung: Kapitalwirkungsindex für ein Portfolio</w:t>
      </w:r>
    </w:p>
    <w:p>
      <w:r>
        <w:t>Modellformel v0.1: KWI = 0,45 * NWI + 0,25 * T-SROI-Skala + 0,15 * Resilienzscore + 0,10 * Datenqualität - 0,25 * Rote-Linien-Malus. Die Gewichtung ist eine Diskussionsmatrix, keine amtliche Methodik.</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Portfolio A: Transformationsinfrastruktur</w:t>
            </w:r>
          </w:p>
        </w:tc>
        <w:tc>
          <w:tcPr>
            <w:tcW w:type="dxa" w:w="5040"/>
            <w:tcBorders>
              <w:top w:val="single" w:sz="4" w:color="D8D1C4"/>
              <w:left w:val="single" w:sz="4" w:color="D8D1C4"/>
              <w:bottom w:val="single" w:sz="4" w:color="D8D1C4"/>
              <w:right w:val="single" w:sz="4" w:color="D8D1C4"/>
            </w:tcBorders>
            <w:vAlign w:val="top"/>
          </w:tcPr>
          <w:p>
            <w:r>
              <w:t>NWI +2,0; T-SROI 1,4; Resilienz +1,8; Datenqualität 0,8; keine rote Linie → KWI ca. +1,74. Finanzierung: bevorzugte Fondsfähigkeit, günstiger W-Kredit, niedriger Risikozuschlag.</w:t>
            </w:r>
          </w:p>
        </w:tc>
      </w:tr>
      <w:tr>
        <w:tc>
          <w:tcPr>
            <w:tcW w:type="dxa" w:w="5040"/>
            <w:tcBorders>
              <w:top w:val="single" w:sz="4" w:color="D8D1C4"/>
              <w:left w:val="single" w:sz="4" w:color="D8D1C4"/>
              <w:bottom w:val="single" w:sz="4" w:color="D8D1C4"/>
              <w:right w:val="single" w:sz="4" w:color="D8D1C4"/>
            </w:tcBorders>
            <w:vAlign w:val="top"/>
          </w:tcPr>
          <w:p>
            <w:r>
              <w:t>Portfolio B: Mischfonds mit fossilem Lock-in</w:t>
            </w:r>
          </w:p>
        </w:tc>
        <w:tc>
          <w:tcPr>
            <w:tcW w:type="dxa" w:w="5040"/>
            <w:tcBorders>
              <w:top w:val="single" w:sz="4" w:color="D8D1C4"/>
              <w:left w:val="single" w:sz="4" w:color="D8D1C4"/>
              <w:bottom w:val="single" w:sz="4" w:color="D8D1C4"/>
              <w:right w:val="single" w:sz="4" w:color="D8D1C4"/>
            </w:tcBorders>
            <w:vAlign w:val="top"/>
          </w:tcPr>
          <w:p>
            <w:r>
              <w:t>NWI +0,4; T-SROI 0,6; Resilienz +0,2; Datenqualität 0,6; Rote-Linien-Malus 1 → KWI ca. -0,05. Finanzierung: Prüfung, Übergangsplan, keine positive Fondskennzeichnung.</w:t>
            </w:r>
          </w:p>
        </w:tc>
      </w:tr>
      <w:tr>
        <w:tc>
          <w:tcPr>
            <w:tcW w:type="dxa" w:w="5040"/>
            <w:tcBorders>
              <w:top w:val="single" w:sz="4" w:color="D8D1C4"/>
              <w:left w:val="single" w:sz="4" w:color="D8D1C4"/>
              <w:bottom w:val="single" w:sz="4" w:color="D8D1C4"/>
              <w:right w:val="single" w:sz="4" w:color="D8D1C4"/>
            </w:tcBorders>
            <w:vAlign w:val="top"/>
          </w:tcPr>
          <w:p>
            <w:r>
              <w:t>Portfolio C: Wohnspekulation + Desinformationsplattform</w:t>
            </w:r>
          </w:p>
        </w:tc>
        <w:tc>
          <w:tcPr>
            <w:tcW w:type="dxa" w:w="5040"/>
            <w:tcBorders>
              <w:top w:val="single" w:sz="4" w:color="D8D1C4"/>
              <w:left w:val="single" w:sz="4" w:color="D8D1C4"/>
              <w:bottom w:val="single" w:sz="4" w:color="D8D1C4"/>
              <w:right w:val="single" w:sz="4" w:color="D8D1C4"/>
            </w:tcBorders>
            <w:vAlign w:val="top"/>
          </w:tcPr>
          <w:p>
            <w:r>
              <w:t>NWI -1,6; T-SROI 0,1; Resilienz -1,2; Datenqualität 0,5; Rote-Linien-Malus 2 → KWI ca. -1,80. Finanzierung: Risikoaufschläge, Aufsicht, mögliche Ausschlüsse.</w:t>
            </w:r>
          </w:p>
        </w:tc>
      </w:tr>
    </w:tbl>
    <w:p>
      <w:pPr>
        <w:pStyle w:val="Heading1"/>
      </w:pPr>
      <w:r>
        <w:t>3. Beispielrechnung: Wirkungskredit</w:t>
      </w:r>
    </w:p>
    <w:p>
      <w:r>
        <w:t>Modellformel v0.1: Zinssatz = Basiszins + Finanzrisikoaufschlag - Wirkungsbonus + Negativwirkungsaufschlag. Der Wirkungsbonus kann nur vergeben werden, wenn keine rote Linie verletzt wird und Datenqualität mindestens plausibel ist.</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Energetische Quartierssanierung</w:t>
            </w:r>
          </w:p>
        </w:tc>
        <w:tc>
          <w:tcPr>
            <w:tcW w:type="dxa" w:w="5040"/>
            <w:tcBorders>
              <w:top w:val="single" w:sz="4" w:color="D8D1C4"/>
              <w:left w:val="single" w:sz="4" w:color="D8D1C4"/>
              <w:bottom w:val="single" w:sz="4" w:color="D8D1C4"/>
              <w:right w:val="single" w:sz="4" w:color="D8D1C4"/>
            </w:tcBorders>
            <w:vAlign w:val="top"/>
          </w:tcPr>
          <w:p>
            <w:r>
              <w:t>Basis 3,0 % + Risiko 1,0 % - Wirkungsbonus 1,5 % = 2,5 %. Wirkung: Emissionen sinken, Heizkostenrisiko sinkt, Gesundheit und Wohnsicherheit steigen.</w:t>
            </w:r>
          </w:p>
        </w:tc>
      </w:tr>
      <w:tr>
        <w:tc>
          <w:tcPr>
            <w:tcW w:type="dxa" w:w="5040"/>
            <w:tcBorders>
              <w:top w:val="single" w:sz="4" w:color="D8D1C4"/>
              <w:left w:val="single" w:sz="4" w:color="D8D1C4"/>
              <w:bottom w:val="single" w:sz="4" w:color="D8D1C4"/>
              <w:right w:val="single" w:sz="4" w:color="D8D1C4"/>
            </w:tcBorders>
            <w:vAlign w:val="top"/>
          </w:tcPr>
          <w:p>
            <w:r>
              <w:t>Fossile Pfadverlängerung</w:t>
            </w:r>
          </w:p>
        </w:tc>
        <w:tc>
          <w:tcPr>
            <w:tcW w:type="dxa" w:w="5040"/>
            <w:tcBorders>
              <w:top w:val="single" w:sz="4" w:color="D8D1C4"/>
              <w:left w:val="single" w:sz="4" w:color="D8D1C4"/>
              <w:bottom w:val="single" w:sz="4" w:color="D8D1C4"/>
              <w:right w:val="single" w:sz="4" w:color="D8D1C4"/>
            </w:tcBorders>
            <w:vAlign w:val="top"/>
          </w:tcPr>
          <w:p>
            <w:r>
              <w:t>Basis 3,0 % + Risiko 1,5 % + Negativaufschlag 2,0 % = 6,5 %. Wirkung: Transition- und Stranded-Asset-Risiko steigen.</w:t>
            </w:r>
          </w:p>
        </w:tc>
      </w:tr>
      <w:tr>
        <w:tc>
          <w:tcPr>
            <w:tcW w:type="dxa" w:w="5040"/>
            <w:tcBorders>
              <w:top w:val="single" w:sz="4" w:color="D8D1C4"/>
              <w:left w:val="single" w:sz="4" w:color="D8D1C4"/>
              <w:bottom w:val="single" w:sz="4" w:color="D8D1C4"/>
              <w:right w:val="single" w:sz="4" w:color="D8D1C4"/>
            </w:tcBorders>
            <w:vAlign w:val="top"/>
          </w:tcPr>
          <w:p>
            <w:r>
              <w:t>Pflegeassistenzrobotik mit Beschäftigtenschutz</w:t>
            </w:r>
          </w:p>
        </w:tc>
        <w:tc>
          <w:tcPr>
            <w:tcW w:type="dxa" w:w="5040"/>
            <w:tcBorders>
              <w:top w:val="single" w:sz="4" w:color="D8D1C4"/>
              <w:left w:val="single" w:sz="4" w:color="D8D1C4"/>
              <w:bottom w:val="single" w:sz="4" w:color="D8D1C4"/>
              <w:right w:val="single" w:sz="4" w:color="D8D1C4"/>
            </w:tcBorders>
            <w:vAlign w:val="top"/>
          </w:tcPr>
          <w:p>
            <w:r>
              <w:t>Basis 3,0 % + Risiko 1,2 % - Wirkungsbonus 1,0 % = 3,2 %. Voraussetzung: Entlastung, Qualifizierung und kein Personalabbau ohne Sozialpfad.</w:t>
            </w:r>
          </w:p>
        </w:tc>
      </w:tr>
    </w:tbl>
    <w:p>
      <w:pPr>
        <w:pStyle w:val="Heading1"/>
      </w:pPr>
      <w:r>
        <w:t>4. Beispielrechnung: Automatisierungsdividende</w:t>
      </w:r>
    </w:p>
    <w:p>
      <w:r>
        <w:t>Arbeitsannahme: Ein Unternehmen erzielt durch KI/Robotik einen zusätzlichen Produktivitätsgewinn von 10 Mio. Euro. Davon werden 15 % als Automatisierungsdividende in den Wirkungsfonds gezahlt, wenn zugleich die Beschäftigtenquote sinkt oder soziale Sicherungsbeiträge reduziert werden. 1,5 Mio. Euro fließen in Wirkungseinkommen, Qualifizierung, regionale Transformation und Rentenstabilität. Bei nachweislich positiver Mitarbeiterführung kann der Satz über Bonuslogik sinken.</w:t>
      </w:r>
    </w:p>
    <w:p>
      <w:pPr>
        <w:pStyle w:val="Heading1"/>
      </w:pPr>
      <w:r>
        <w:t>5. Fondsarchitektur</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Zentraler Wirkungsfonds</w:t>
            </w:r>
          </w:p>
        </w:tc>
        <w:tc>
          <w:tcPr>
            <w:tcW w:type="dxa" w:w="5040"/>
            <w:tcBorders>
              <w:top w:val="single" w:sz="4" w:color="D8D1C4"/>
              <w:left w:val="single" w:sz="4" w:color="D8D1C4"/>
              <w:bottom w:val="single" w:sz="4" w:color="D8D1C4"/>
              <w:right w:val="single" w:sz="4" w:color="D8D1C4"/>
            </w:tcBorders>
            <w:vAlign w:val="top"/>
          </w:tcPr>
          <w:p>
            <w:r>
              <w:t>Sammelt WUStG, WEstG, Automatisierungsdividende, Kapitalwirkungsaufschläge, Kapitalsteuern, Sanktionen, EU-/Globalfonds und Bürger:innenfondsanteile.</w:t>
            </w:r>
          </w:p>
        </w:tc>
      </w:tr>
      <w:tr>
        <w:tc>
          <w:tcPr>
            <w:tcW w:type="dxa" w:w="5040"/>
            <w:tcBorders>
              <w:top w:val="single" w:sz="4" w:color="D8D1C4"/>
              <w:left w:val="single" w:sz="4" w:color="D8D1C4"/>
              <w:bottom w:val="single" w:sz="4" w:color="D8D1C4"/>
              <w:right w:val="single" w:sz="4" w:color="D8D1C4"/>
            </w:tcBorders>
            <w:vAlign w:val="top"/>
          </w:tcPr>
          <w:p>
            <w:r>
              <w:t>Transformationsfonds</w:t>
            </w:r>
          </w:p>
        </w:tc>
        <w:tc>
          <w:tcPr>
            <w:tcW w:type="dxa" w:w="5040"/>
            <w:tcBorders>
              <w:top w:val="single" w:sz="4" w:color="D8D1C4"/>
              <w:left w:val="single" w:sz="4" w:color="D8D1C4"/>
              <w:bottom w:val="single" w:sz="4" w:color="D8D1C4"/>
              <w:right w:val="single" w:sz="4" w:color="D8D1C4"/>
            </w:tcBorders>
            <w:vAlign w:val="top"/>
          </w:tcPr>
          <w:p>
            <w:r>
              <w:t>Finanziert Energie, Wärme, Netze, Mobilität, Kreislaufwirtschaft, Pflege, Gesundheit, Digitalisierung, Wasser und Resilienz.</w:t>
            </w:r>
          </w:p>
        </w:tc>
      </w:tr>
      <w:tr>
        <w:tc>
          <w:tcPr>
            <w:tcW w:type="dxa" w:w="5040"/>
            <w:tcBorders>
              <w:top w:val="single" w:sz="4" w:color="D8D1C4"/>
              <w:left w:val="single" w:sz="4" w:color="D8D1C4"/>
              <w:bottom w:val="single" w:sz="4" w:color="D8D1C4"/>
              <w:right w:val="single" w:sz="4" w:color="D8D1C4"/>
            </w:tcBorders>
            <w:vAlign w:val="top"/>
          </w:tcPr>
          <w:p>
            <w:r>
              <w:t>Bildungsfonds</w:t>
            </w:r>
          </w:p>
        </w:tc>
        <w:tc>
          <w:tcPr>
            <w:tcW w:type="dxa" w:w="5040"/>
            <w:tcBorders>
              <w:top w:val="single" w:sz="4" w:color="D8D1C4"/>
              <w:left w:val="single" w:sz="4" w:color="D8D1C4"/>
              <w:bottom w:val="single" w:sz="4" w:color="D8D1C4"/>
              <w:right w:val="single" w:sz="4" w:color="D8D1C4"/>
            </w:tcBorders>
            <w:vAlign w:val="top"/>
          </w:tcPr>
          <w:p>
            <w:r>
              <w:t>Finanziert Wirkungsschule, Fach Zukunft, Wirkungsförderung, digitale Mündigkeit und lebenslanges Lernen.</w:t>
            </w:r>
          </w:p>
        </w:tc>
      </w:tr>
      <w:tr>
        <w:tc>
          <w:tcPr>
            <w:tcW w:type="dxa" w:w="5040"/>
            <w:tcBorders>
              <w:top w:val="single" w:sz="4" w:color="D8D1C4"/>
              <w:left w:val="single" w:sz="4" w:color="D8D1C4"/>
              <w:bottom w:val="single" w:sz="4" w:color="D8D1C4"/>
              <w:right w:val="single" w:sz="4" w:color="D8D1C4"/>
            </w:tcBorders>
            <w:vAlign w:val="top"/>
          </w:tcPr>
          <w:p>
            <w:r>
              <w:t>Gesundheits- und Pflegefonds</w:t>
            </w:r>
          </w:p>
        </w:tc>
        <w:tc>
          <w:tcPr>
            <w:tcW w:type="dxa" w:w="5040"/>
            <w:tcBorders>
              <w:top w:val="single" w:sz="4" w:color="D8D1C4"/>
              <w:left w:val="single" w:sz="4" w:color="D8D1C4"/>
              <w:bottom w:val="single" w:sz="4" w:color="D8D1C4"/>
              <w:right w:val="single" w:sz="4" w:color="D8D1C4"/>
            </w:tcBorders>
            <w:vAlign w:val="top"/>
          </w:tcPr>
          <w:p>
            <w:r>
              <w:t>Finanziert Prävention, Pflegeentlastung, psychische Gesundheit, EHDS-kompatible Datenräume und kommunale Gesundheitsräume.</w:t>
            </w:r>
          </w:p>
        </w:tc>
      </w:tr>
      <w:tr>
        <w:tc>
          <w:tcPr>
            <w:tcW w:type="dxa" w:w="5040"/>
            <w:tcBorders>
              <w:top w:val="single" w:sz="4" w:color="D8D1C4"/>
              <w:left w:val="single" w:sz="4" w:color="D8D1C4"/>
              <w:bottom w:val="single" w:sz="4" w:color="D8D1C4"/>
              <w:right w:val="single" w:sz="4" w:color="D8D1C4"/>
            </w:tcBorders>
            <w:vAlign w:val="top"/>
          </w:tcPr>
          <w:p>
            <w:r>
              <w:t>Rentenfonds / Bürger:innenfonds</w:t>
            </w:r>
          </w:p>
        </w:tc>
        <w:tc>
          <w:tcPr>
            <w:tcW w:type="dxa" w:w="5040"/>
            <w:tcBorders>
              <w:top w:val="single" w:sz="4" w:color="D8D1C4"/>
              <w:left w:val="single" w:sz="4" w:color="D8D1C4"/>
              <w:bottom w:val="single" w:sz="4" w:color="D8D1C4"/>
              <w:right w:val="single" w:sz="4" w:color="D8D1C4"/>
            </w:tcBorders>
            <w:vAlign w:val="top"/>
          </w:tcPr>
          <w:p>
            <w:r>
              <w:t>Verbindet Wirkungsrente, Altersvorsorge, Wirkungsrendite und demokratische Kapitalbeteiligung.</w:t>
            </w:r>
          </w:p>
        </w:tc>
      </w:tr>
      <w:tr>
        <w:tc>
          <w:tcPr>
            <w:tcW w:type="dxa" w:w="5040"/>
            <w:tcBorders>
              <w:top w:val="single" w:sz="4" w:color="D8D1C4"/>
              <w:left w:val="single" w:sz="4" w:color="D8D1C4"/>
              <w:bottom w:val="single" w:sz="4" w:color="D8D1C4"/>
              <w:right w:val="single" w:sz="4" w:color="D8D1C4"/>
            </w:tcBorders>
            <w:vAlign w:val="top"/>
          </w:tcPr>
          <w:p>
            <w:r>
              <w:t>Medien- und Demokratiefonds</w:t>
            </w:r>
          </w:p>
        </w:tc>
        <w:tc>
          <w:tcPr>
            <w:tcW w:type="dxa" w:w="5040"/>
            <w:tcBorders>
              <w:top w:val="single" w:sz="4" w:color="D8D1C4"/>
              <w:left w:val="single" w:sz="4" w:color="D8D1C4"/>
              <w:bottom w:val="single" w:sz="4" w:color="D8D1C4"/>
              <w:right w:val="single" w:sz="4" w:color="D8D1C4"/>
            </w:tcBorders>
            <w:vAlign w:val="top"/>
          </w:tcPr>
          <w:p>
            <w:r>
              <w:t>Finanziert unabhängigen Journalismus, Medienqualität, Quellenklarheit, Desinformationsresilienz und demokratische Öffentlichkeit.</w:t>
            </w:r>
          </w:p>
        </w:tc>
      </w:tr>
    </w:tbl>
    <w:p>
      <w:pPr>
        <w:pStyle w:val="Heading1"/>
      </w:pPr>
      <w:r>
        <w:t>6. Datenqualitätsklassen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A geprüft</w:t>
            </w:r>
          </w:p>
        </w:tc>
        <w:tc>
          <w:tcPr>
            <w:tcW w:type="dxa" w:w="5040"/>
            <w:tcBorders>
              <w:top w:val="single" w:sz="4" w:color="D8D1C4"/>
              <w:left w:val="single" w:sz="4" w:color="D8D1C4"/>
              <w:bottom w:val="single" w:sz="4" w:color="D8D1C4"/>
              <w:right w:val="single" w:sz="4" w:color="D8D1C4"/>
            </w:tcBorders>
            <w:vAlign w:val="top"/>
          </w:tcPr>
          <w:p>
            <w:r>
              <w:t>Externe Assurance, Audit-Trail, belastbare Datenquelle, kompatibel mit WÖk-ID und Standards.</w:t>
            </w:r>
          </w:p>
        </w:tc>
      </w:tr>
      <w:tr>
        <w:tc>
          <w:tcPr>
            <w:tcW w:type="dxa" w:w="5040"/>
            <w:tcBorders>
              <w:top w:val="single" w:sz="4" w:color="D8D1C4"/>
              <w:left w:val="single" w:sz="4" w:color="D8D1C4"/>
              <w:bottom w:val="single" w:sz="4" w:color="D8D1C4"/>
              <w:right w:val="single" w:sz="4" w:color="D8D1C4"/>
            </w:tcBorders>
            <w:vAlign w:val="top"/>
          </w:tcPr>
          <w:p>
            <w:r>
              <w:t>B plausibel</w:t>
            </w:r>
          </w:p>
        </w:tc>
        <w:tc>
          <w:tcPr>
            <w:tcW w:type="dxa" w:w="5040"/>
            <w:tcBorders>
              <w:top w:val="single" w:sz="4" w:color="D8D1C4"/>
              <w:left w:val="single" w:sz="4" w:color="D8D1C4"/>
              <w:bottom w:val="single" w:sz="4" w:color="D8D1C4"/>
              <w:right w:val="single" w:sz="4" w:color="D8D1C4"/>
            </w:tcBorders>
            <w:vAlign w:val="top"/>
          </w:tcPr>
          <w:p>
            <w:r>
              <w:t>Interne Daten mit methodischer Plausibilisierung, nachvollziehbare Quelle, noch keine vollständige Prüfung.</w:t>
            </w:r>
          </w:p>
        </w:tc>
      </w:tr>
      <w:tr>
        <w:tc>
          <w:tcPr>
            <w:tcW w:type="dxa" w:w="5040"/>
            <w:tcBorders>
              <w:top w:val="single" w:sz="4" w:color="D8D1C4"/>
              <w:left w:val="single" w:sz="4" w:color="D8D1C4"/>
              <w:bottom w:val="single" w:sz="4" w:color="D8D1C4"/>
              <w:right w:val="single" w:sz="4" w:color="D8D1C4"/>
            </w:tcBorders>
            <w:vAlign w:val="top"/>
          </w:tcPr>
          <w:p>
            <w:r>
              <w:t>C geschätzt</w:t>
            </w:r>
          </w:p>
        </w:tc>
        <w:tc>
          <w:tcPr>
            <w:tcW w:type="dxa" w:w="5040"/>
            <w:tcBorders>
              <w:top w:val="single" w:sz="4" w:color="D8D1C4"/>
              <w:left w:val="single" w:sz="4" w:color="D8D1C4"/>
              <w:bottom w:val="single" w:sz="4" w:color="D8D1C4"/>
              <w:right w:val="single" w:sz="4" w:color="D8D1C4"/>
            </w:tcBorders>
            <w:vAlign w:val="top"/>
          </w:tcPr>
          <w:p>
            <w:r>
              <w:t>Proxy-Werte, Branchenbenchmarks, Übergangsdaten; nur für Pilotierung und konservative Bewertung.</w:t>
            </w:r>
          </w:p>
        </w:tc>
      </w:tr>
      <w:tr>
        <w:tc>
          <w:tcPr>
            <w:tcW w:type="dxa" w:w="5040"/>
            <w:tcBorders>
              <w:top w:val="single" w:sz="4" w:color="D8D1C4"/>
              <w:left w:val="single" w:sz="4" w:color="D8D1C4"/>
              <w:bottom w:val="single" w:sz="4" w:color="D8D1C4"/>
              <w:right w:val="single" w:sz="4" w:color="D8D1C4"/>
            </w:tcBorders>
            <w:vAlign w:val="top"/>
          </w:tcPr>
          <w:p>
            <w:r>
              <w:t>D unzureichend</w:t>
            </w:r>
          </w:p>
        </w:tc>
        <w:tc>
          <w:tcPr>
            <w:tcW w:type="dxa" w:w="5040"/>
            <w:tcBorders>
              <w:top w:val="single" w:sz="4" w:color="D8D1C4"/>
              <w:left w:val="single" w:sz="4" w:color="D8D1C4"/>
              <w:bottom w:val="single" w:sz="4" w:color="D8D1C4"/>
              <w:right w:val="single" w:sz="4" w:color="D8D1C4"/>
            </w:tcBorders>
            <w:vAlign w:val="top"/>
          </w:tcPr>
          <w:p>
            <w:r>
              <w:t>Daten fehlen oder sind widersprüchlich; kein Wirkungsbonus, erhöhte Prüfpflicht.</w:t>
            </w:r>
          </w:p>
        </w:tc>
      </w:tr>
    </w:tbl>
    <w:p>
      <w:pPr>
        <w:pStyle w:val="Heading1"/>
      </w:pPr>
      <w:r>
        <w:t>7. Tool-Logik</w:t>
      </w:r>
    </w:p>
    <w:p>
      <w:pPr>
        <w:pStyle w:val="ListBullet"/>
      </w:pPr>
      <w:r>
        <w:t>Kapitalwirkungscheck für Portfolios</w:t>
      </w:r>
    </w:p>
    <w:p>
      <w:pPr>
        <w:pStyle w:val="ListBullet"/>
      </w:pPr>
      <w:r>
        <w:t>Wirkungskredit-Rechner für Banken</w:t>
      </w:r>
    </w:p>
    <w:p>
      <w:pPr>
        <w:pStyle w:val="ListBullet"/>
      </w:pPr>
      <w:r>
        <w:t>Wirkungsfonds-Simulator</w:t>
      </w:r>
    </w:p>
    <w:p>
      <w:pPr>
        <w:pStyle w:val="ListBullet"/>
      </w:pPr>
      <w:r>
        <w:t>Automatisierungsdividenden-Rechner</w:t>
      </w:r>
    </w:p>
    <w:p>
      <w:pPr>
        <w:pStyle w:val="ListBullet"/>
      </w:pPr>
      <w:r>
        <w:t>Versicherbarkeits- und Resilienzcheck</w:t>
      </w:r>
    </w:p>
    <w:p>
      <w:pPr>
        <w:pStyle w:val="ListBullet"/>
      </w:pPr>
      <w:r>
        <w:t>ESG-zu-WÖk-Mapping</w:t>
      </w:r>
    </w:p>
    <w:p>
      <w:pPr>
        <w:pStyle w:val="ListBullet"/>
      </w:pPr>
      <w:r>
        <w:t>Kapitalmissbrauchs- und rote-Linien-Check</w:t>
      </w:r>
    </w:p>
    <w:p>
      <w:pPr>
        <w:pStyle w:val="Heading1"/>
      </w:pPr>
      <w:r>
        <w:t>Politische Anschlussfähigkeit und Umsetzungsoptionen</w:t>
      </w:r>
    </w:p>
    <w:tbl>
      <w:tblPr>
        <w:tblW w:type="auto" w:w="0"/>
        <w:jc w:val="center"/>
        <w:tblLook w:firstColumn="1" w:firstRow="1" w:lastColumn="0" w:lastRow="0" w:noHBand="0" w:noVBand="1" w:val="04A0"/>
      </w:tblPr>
      <w:tblGrid>
        <w:gridCol w:w="5040"/>
        <w:gridCol w:w="5040"/>
      </w:tblGrid>
      <w:tr>
        <w:tc>
          <w:tcPr>
            <w:tcW w:type="dxa" w:w="5040"/>
            <w:shd w:fill="F6F1E8"/>
            <w:tcBorders>
              <w:top w:val="single" w:sz="4" w:color="D8D1C4"/>
              <w:left w:val="single" w:sz="4" w:color="D8D1C4"/>
              <w:bottom w:val="single" w:sz="4" w:color="D8D1C4"/>
              <w:right w:val="single" w:sz="4" w:color="D8D1C4"/>
            </w:tcBorders>
          </w:tcPr>
          <w:p>
            <w:r>
              <w:rPr>
                <w:b/>
              </w:rPr>
              <w:t>Ebene</w:t>
            </w:r>
          </w:p>
        </w:tc>
        <w:tc>
          <w:tcPr>
            <w:tcW w:type="dxa" w:w="5040"/>
            <w:shd w:fill="F6F1E8"/>
            <w:tcBorders>
              <w:top w:val="single" w:sz="4" w:color="D8D1C4"/>
              <w:left w:val="single" w:sz="4" w:color="D8D1C4"/>
              <w:bottom w:val="single" w:sz="4" w:color="D8D1C4"/>
              <w:right w:val="single" w:sz="4" w:color="D8D1C4"/>
            </w:tcBorders>
          </w:tcPr>
          <w:p>
            <w:r>
              <w:rPr>
                <w:b/>
              </w:rPr>
              <w:t>Inhalt</w:t>
            </w:r>
          </w:p>
        </w:tc>
      </w:tr>
      <w:tr>
        <w:tc>
          <w:tcPr>
            <w:tcW w:type="dxa" w:w="5040"/>
            <w:tcBorders>
              <w:top w:val="single" w:sz="4" w:color="D8D1C4"/>
              <w:left w:val="single" w:sz="4" w:color="D8D1C4"/>
              <w:bottom w:val="single" w:sz="4" w:color="D8D1C4"/>
              <w:right w:val="single" w:sz="4" w:color="D8D1C4"/>
            </w:tcBorders>
            <w:vAlign w:val="top"/>
          </w:tcPr>
          <w:p>
            <w:r>
              <w:t>Aufgabe der Politik</w:t>
            </w:r>
          </w:p>
        </w:tc>
        <w:tc>
          <w:tcPr>
            <w:tcW w:type="dxa" w:w="5040"/>
            <w:tcBorders>
              <w:top w:val="single" w:sz="4" w:color="D8D1C4"/>
              <w:left w:val="single" w:sz="4" w:color="D8D1C4"/>
              <w:bottom w:val="single" w:sz="4" w:color="D8D1C4"/>
              <w:right w:val="single" w:sz="4" w:color="D8D1C4"/>
            </w:tcBorders>
            <w:vAlign w:val="top"/>
          </w:tcPr>
          <w:p>
            <w:r>
              <w:t>Finanzmärkte müssen so gerahmt werden, dass Kapital nicht nur Rendite optimiert, sondern Risiken, Resilienz und positive Netto-Wirkung für Mensch, Planet und Demokratie berücksichtigt.</w:t>
            </w:r>
          </w:p>
        </w:tc>
      </w:tr>
      <w:tr>
        <w:tc>
          <w:tcPr>
            <w:tcW w:type="dxa" w:w="5040"/>
            <w:tcBorders>
              <w:top w:val="single" w:sz="4" w:color="D8D1C4"/>
              <w:left w:val="single" w:sz="4" w:color="D8D1C4"/>
              <w:bottom w:val="single" w:sz="4" w:color="D8D1C4"/>
              <w:right w:val="single" w:sz="4" w:color="D8D1C4"/>
            </w:tcBorders>
            <w:vAlign w:val="top"/>
          </w:tcPr>
          <w:p>
            <w:r>
              <w:t>Politische Rahmenbedingungen</w:t>
            </w:r>
          </w:p>
        </w:tc>
        <w:tc>
          <w:tcPr>
            <w:tcW w:type="dxa" w:w="5040"/>
            <w:tcBorders>
              <w:top w:val="single" w:sz="4" w:color="D8D1C4"/>
              <w:left w:val="single" w:sz="4" w:color="D8D1C4"/>
              <w:bottom w:val="single" w:sz="4" w:color="D8D1C4"/>
              <w:right w:val="single" w:sz="4" w:color="D8D1C4"/>
            </w:tcBorders>
            <w:vAlign w:val="top"/>
          </w:tcPr>
          <w:p>
            <w:r>
              <w:t>Nötig sind klare Datenstandards, proportionale Berichtspflichten, Aufsicht über ESG-/Wirkungsratings, Kredit- und Versicherungslogiken, Fondsregeln, Kapitalsteuern, öffentliche Wirkungskapitalbanken und Rechtsschutz.</w:t>
            </w:r>
          </w:p>
        </w:tc>
      </w:tr>
      <w:tr>
        <w:tc>
          <w:tcPr>
            <w:tcW w:type="dxa" w:w="5040"/>
            <w:tcBorders>
              <w:top w:val="single" w:sz="4" w:color="D8D1C4"/>
              <w:left w:val="single" w:sz="4" w:color="D8D1C4"/>
              <w:bottom w:val="single" w:sz="4" w:color="D8D1C4"/>
              <w:right w:val="single" w:sz="4" w:color="D8D1C4"/>
            </w:tcBorders>
            <w:vAlign w:val="top"/>
          </w:tcPr>
          <w:p>
            <w:r>
              <w:t>Ausgestaltungsspielraum</w:t>
            </w:r>
          </w:p>
        </w:tc>
        <w:tc>
          <w:tcPr>
            <w:tcW w:type="dxa" w:w="5040"/>
            <w:tcBorders>
              <w:top w:val="single" w:sz="4" w:color="D8D1C4"/>
              <w:left w:val="single" w:sz="4" w:color="D8D1C4"/>
              <w:bottom w:val="single" w:sz="4" w:color="D8D1C4"/>
              <w:right w:val="single" w:sz="4" w:color="D8D1C4"/>
            </w:tcBorders>
            <w:vAlign w:val="top"/>
          </w:tcPr>
          <w:p>
            <w:r>
              <w:t>Parteien können unterschiedlich gewichten: freiwillige Standards oder Pflicht, Steuer- oder Aufsichtslogik, staatliche Fonds oder private Kapitalmärkte, nationale Pilotierung oder EU-Harmonisierung.</w:t>
            </w:r>
          </w:p>
        </w:tc>
      </w:tr>
      <w:tr>
        <w:tc>
          <w:tcPr>
            <w:tcW w:type="dxa" w:w="5040"/>
            <w:tcBorders>
              <w:top w:val="single" w:sz="4" w:color="D8D1C4"/>
              <w:left w:val="single" w:sz="4" w:color="D8D1C4"/>
              <w:bottom w:val="single" w:sz="4" w:color="D8D1C4"/>
              <w:right w:val="single" w:sz="4" w:color="D8D1C4"/>
            </w:tcBorders>
            <w:vAlign w:val="top"/>
          </w:tcPr>
          <w:p>
            <w:r>
              <w:t>Zielkonflikte</w:t>
            </w:r>
          </w:p>
        </w:tc>
        <w:tc>
          <w:tcPr>
            <w:tcW w:type="dxa" w:w="5040"/>
            <w:tcBorders>
              <w:top w:val="single" w:sz="4" w:color="D8D1C4"/>
              <w:left w:val="single" w:sz="4" w:color="D8D1C4"/>
              <w:bottom w:val="single" w:sz="4" w:color="D8D1C4"/>
              <w:right w:val="single" w:sz="4" w:color="D8D1C4"/>
            </w:tcBorders>
            <w:vAlign w:val="top"/>
          </w:tcPr>
          <w:p>
            <w:r>
              <w:t>Kapitalmobilität, Standortwettbewerb, Eigentumsschutz, Finanzstabilität, Innovationsfreiheit, Datenschutz, Bürokratiereduktion und soziale Gerechtigkeit müssen austariert werden.</w:t>
            </w:r>
          </w:p>
        </w:tc>
      </w:tr>
      <w:tr>
        <w:tc>
          <w:tcPr>
            <w:tcW w:type="dxa" w:w="5040"/>
            <w:tcBorders>
              <w:top w:val="single" w:sz="4" w:color="D8D1C4"/>
              <w:left w:val="single" w:sz="4" w:color="D8D1C4"/>
              <w:bottom w:val="single" w:sz="4" w:color="D8D1C4"/>
              <w:right w:val="single" w:sz="4" w:color="D8D1C4"/>
            </w:tcBorders>
            <w:vAlign w:val="top"/>
          </w:tcPr>
          <w:p>
            <w:r>
              <w:t>Rollenverteilung</w:t>
            </w:r>
          </w:p>
        </w:tc>
        <w:tc>
          <w:tcPr>
            <w:tcW w:type="dxa" w:w="5040"/>
            <w:tcBorders>
              <w:top w:val="single" w:sz="4" w:color="D8D1C4"/>
              <w:left w:val="single" w:sz="4" w:color="D8D1C4"/>
              <w:bottom w:val="single" w:sz="4" w:color="D8D1C4"/>
              <w:right w:val="single" w:sz="4" w:color="D8D1C4"/>
            </w:tcBorders>
            <w:vAlign w:val="top"/>
          </w:tcPr>
          <w:p>
            <w:r>
              <w:t>EU, Bund, BaFin/EZB/EBA/EIOPA/ESMA, Länder, Kommunen, Banken, Versicherungen, Pensionskassen, Investoren, Unternehmen, Wissenschaft und Zivilgesellschaft tragen unterschiedliche Aufgaben.</w:t>
            </w:r>
          </w:p>
        </w:tc>
      </w:tr>
      <w:tr>
        <w:tc>
          <w:tcPr>
            <w:tcW w:type="dxa" w:w="5040"/>
            <w:tcBorders>
              <w:top w:val="single" w:sz="4" w:color="D8D1C4"/>
              <w:left w:val="single" w:sz="4" w:color="D8D1C4"/>
              <w:bottom w:val="single" w:sz="4" w:color="D8D1C4"/>
              <w:right w:val="single" w:sz="4" w:color="D8D1C4"/>
            </w:tcBorders>
            <w:vAlign w:val="top"/>
          </w:tcPr>
          <w:p>
            <w:r>
              <w:t>Übergang und Schutz</w:t>
            </w:r>
          </w:p>
        </w:tc>
        <w:tc>
          <w:tcPr>
            <w:tcW w:type="dxa" w:w="5040"/>
            <w:tcBorders>
              <w:top w:val="single" w:sz="4" w:color="D8D1C4"/>
              <w:left w:val="single" w:sz="4" w:color="D8D1C4"/>
              <w:bottom w:val="single" w:sz="4" w:color="D8D1C4"/>
              <w:right w:val="single" w:sz="4" w:color="D8D1C4"/>
            </w:tcBorders>
            <w:vAlign w:val="top"/>
          </w:tcPr>
          <w:p>
            <w:r>
              <w:t>KMU, Sparkassen, Genossenschaftsbanken, Sozialunternehmen und Haushalte brauchen Übergangsfristen, einfache Datenpfade, Härtefallregeln, Anti-Greenwashing-Schutz und demokratische Korrekturwege.</w:t>
            </w:r>
          </w:p>
        </w:tc>
      </w:tr>
      <w:tr>
        <w:tc>
          <w:tcPr>
            <w:tcW w:type="dxa" w:w="5040"/>
            <w:tcBorders>
              <w:top w:val="single" w:sz="4" w:color="D8D1C4"/>
              <w:left w:val="single" w:sz="4" w:color="D8D1C4"/>
              <w:bottom w:val="single" w:sz="4" w:color="D8D1C4"/>
              <w:right w:val="single" w:sz="4" w:color="D8D1C4"/>
            </w:tcBorders>
            <w:vAlign w:val="top"/>
          </w:tcPr>
          <w:p>
            <w:r>
              <w:t>Evaluation und Korrektur</w:t>
            </w:r>
          </w:p>
        </w:tc>
        <w:tc>
          <w:tcPr>
            <w:tcW w:type="dxa" w:w="5040"/>
            <w:tcBorders>
              <w:top w:val="single" w:sz="4" w:color="D8D1C4"/>
              <w:left w:val="single" w:sz="4" w:color="D8D1C4"/>
              <w:bottom w:val="single" w:sz="4" w:color="D8D1C4"/>
              <w:right w:val="single" w:sz="4" w:color="D8D1C4"/>
            </w:tcBorders>
            <w:vAlign w:val="top"/>
          </w:tcPr>
          <w:p>
            <w:r>
              <w:t>Wirkungsberichte, Stresstests, Revisionszyklen, Wirkungsrat, öffentliche Konsultation, unabhängige Assurance und Fehlerkultur halten das System lernfähig.</w:t>
            </w:r>
          </w:p>
        </w:tc>
      </w:tr>
      <w:tr>
        <w:tc>
          <w:tcPr>
            <w:tcW w:type="dxa" w:w="5040"/>
            <w:tcBorders>
              <w:top w:val="single" w:sz="4" w:color="D8D1C4"/>
              <w:left w:val="single" w:sz="4" w:color="D8D1C4"/>
              <w:bottom w:val="single" w:sz="4" w:color="D8D1C4"/>
              <w:right w:val="single" w:sz="4" w:color="D8D1C4"/>
            </w:tcBorders>
            <w:vAlign w:val="top"/>
          </w:tcPr>
          <w:p>
            <w:r>
              <w:t>Parteipolitische Anschlussfähigkeit</w:t>
            </w:r>
          </w:p>
        </w:tc>
        <w:tc>
          <w:tcPr>
            <w:tcW w:type="dxa" w:w="5040"/>
            <w:tcBorders>
              <w:top w:val="single" w:sz="4" w:color="D8D1C4"/>
              <w:left w:val="single" w:sz="4" w:color="D8D1C4"/>
              <w:bottom w:val="single" w:sz="4" w:color="D8D1C4"/>
              <w:right w:val="single" w:sz="4" w:color="D8D1C4"/>
            </w:tcBorders>
            <w:vAlign w:val="top"/>
          </w:tcPr>
          <w:p>
            <w:r>
              <w:t>Konservative, liberale, sozialdemokratische, grüne, linke, kommunale und wirtschaftsnahe Ansätze können jeweils eigene Wege wählen, solange Wirkung sichtbar, überprüfbar und korrigierbar bleibt.</w:t>
            </w:r>
          </w:p>
        </w:tc>
      </w:tr>
      <w:tr>
        <w:tc>
          <w:tcPr>
            <w:tcW w:type="dxa" w:w="5040"/>
            <w:tcBorders>
              <w:top w:val="single" w:sz="4" w:color="D8D1C4"/>
              <w:left w:val="single" w:sz="4" w:color="D8D1C4"/>
              <w:bottom w:val="single" w:sz="4" w:color="D8D1C4"/>
              <w:right w:val="single" w:sz="4" w:color="D8D1C4"/>
            </w:tcBorders>
            <w:vAlign w:val="top"/>
          </w:tcPr>
          <w:p>
            <w:r>
              <w:t>Schutz vor Technokratie</w:t>
            </w:r>
          </w:p>
        </w:tc>
        <w:tc>
          <w:tcPr>
            <w:tcW w:type="dxa" w:w="5040"/>
            <w:tcBorders>
              <w:top w:val="single" w:sz="4" w:color="D8D1C4"/>
              <w:left w:val="single" w:sz="4" w:color="D8D1C4"/>
              <w:bottom w:val="single" w:sz="4" w:color="D8D1C4"/>
              <w:right w:val="single" w:sz="4" w:color="D8D1C4"/>
            </w:tcBorders>
            <w:vAlign w:val="top"/>
          </w:tcPr>
          <w:p>
            <w:r>
              <w:t>Wirkungsdaten bereiten Entscheidungen vor, ersetzen sie aber nicht. Normative Entscheidungen bleiben demokratisch legitimiert.</w:t>
            </w:r>
          </w:p>
        </w:tc>
      </w:tr>
    </w:tbl>
    <w:p>
      <w:pPr>
        <w:pStyle w:val="Heading1"/>
      </w:pPr>
      <w:r>
        <w:t>SDG-/SDG+-Bezug</w:t>
      </w:r>
    </w:p>
    <w:p>
      <w:r>
        <w:t>Besonders relevant sind SDG 8, 9, 10, 11, 12, 13, 16 und 17 sowie SDG+ Demokratie, Medienqualität, Rechtsstaatlichkeit, institutionelles Vertrauen, gesellschaftlicher Zusammenhalt und digitale Selbstbestimmung. Finanzsystem &amp; Kapital wirkt als Querschnitt, weil Kapital nahezu jedes SDG entweder ermöglicht oder blockiert.</w:t>
      </w:r>
    </w:p>
    <w:p>
      <w:pPr>
        <w:pStyle w:val="Heading1"/>
      </w:pPr>
      <w:r>
        <w:t>Anker im Online-Buch</w:t>
      </w:r>
    </w:p>
    <w:p>
      <w:pPr>
        <w:pStyle w:val="ListBullet"/>
      </w:pPr>
      <w:r>
        <w:t>Kapitel 3: Kapital als Werkzeug und falscher Kompass</w:t>
      </w:r>
    </w:p>
    <w:p>
      <w:pPr>
        <w:pStyle w:val="ListBullet"/>
      </w:pPr>
      <w:r>
        <w:t>Kapitel 17: Wirkungsökonomie im Vergleich</w:t>
      </w:r>
    </w:p>
    <w:p>
      <w:pPr>
        <w:pStyle w:val="ListBullet"/>
      </w:pPr>
      <w:r>
        <w:t>Kapitel 18: Wirkungsordnungen</w:t>
      </w:r>
    </w:p>
    <w:p>
      <w:pPr>
        <w:pStyle w:val="ListBullet"/>
      </w:pPr>
      <w:r>
        <w:t>Kapitel 34: T-SROI</w:t>
      </w:r>
    </w:p>
    <w:p>
      <w:pPr>
        <w:pStyle w:val="ListBullet"/>
      </w:pPr>
      <w:r>
        <w:t>Kapitel 37-40: WStG, WUStG, Wirkungshaushalt, Wirkungsrat</w:t>
      </w:r>
    </w:p>
    <w:p>
      <w:pPr>
        <w:pStyle w:val="ListBullet"/>
      </w:pPr>
      <w:r>
        <w:t>Kapitel 58: Wirkungsrente</w:t>
      </w:r>
    </w:p>
    <w:p>
      <w:pPr>
        <w:pStyle w:val="ListBullet"/>
      </w:pPr>
      <w:r>
        <w:t>Kapitel 59: Finanzsystem &amp; Kapital</w:t>
      </w:r>
    </w:p>
    <w:p>
      <w:pPr>
        <w:pStyle w:val="ListBullet"/>
      </w:pPr>
      <w:r>
        <w:t>Kapitel 98: Wirkungsfonds und Datenräume</w:t>
      </w:r>
    </w:p>
    <w:p>
      <w:pPr>
        <w:pStyle w:val="Heading1"/>
      </w:pPr>
      <w:r>
        <w:t>Quellen und Referenzrahmen</w:t>
      </w:r>
    </w:p>
    <w:p>
      <w:r>
        <w:t>Die folgenden Quellen bilden den öffentlichen und internen Referenzrahmen. Die Wirkungsökonomie nutzt sie nicht als bloße Berichtswelt, sondern als Anschluss an Daten, Risiko, Kapitalzugang, Steuerlogik und demokratische Korrektur.</w:t>
      </w:r>
    </w:p>
    <w:p>
      <w:pPr>
        <w:pStyle w:val="ListBullet"/>
      </w:pPr>
      <w:r>
        <w:t xml:space="preserve">European Banking Authority (EBA), Final Guidelines on the management of ESG risks, 2025. </w:t>
      </w:r>
      <w:hyperlink r:id="rId11">
        <w:r>
          <w:rPr>
            <w:color w:val="2E7D5C"/>
            <w:u w:val="single"/>
          </w:rPr>
          <w:t>https://www.eba.europa.eu/publications-and-media/press-releases/eba-publishes-its-final-guidelines-management-esg-risks</w:t>
        </w:r>
      </w:hyperlink>
    </w:p>
    <w:p>
      <w:pPr>
        <w:pStyle w:val="ListBullet"/>
      </w:pPr>
      <w:r>
        <w:t xml:space="preserve">European Commission, Corporate sustainability reporting / CSRD / ESRS. </w:t>
      </w:r>
      <w:hyperlink r:id="rId12">
        <w:r>
          <w:rPr>
            <w:color w:val="2E7D5C"/>
            <w:u w:val="single"/>
          </w:rPr>
          <w:t>https://finance.ec.europa.eu/financial-markets/company-reporting-and-auditing/company-reporting/corporate-sustainability-reporting_en</w:t>
        </w:r>
      </w:hyperlink>
    </w:p>
    <w:p>
      <w:pPr>
        <w:pStyle w:val="ListBullet"/>
      </w:pPr>
      <w:r>
        <w:t xml:space="preserve">European Commission, EU taxonomy for sustainable activities. </w:t>
      </w:r>
      <w:hyperlink r:id="rId13">
        <w:r>
          <w:rPr>
            <w:color w:val="2E7D5C"/>
            <w:u w:val="single"/>
          </w:rPr>
          <w:t>https://finance.ec.europa.eu/sustainable-finance/tools-and-standards/eu-taxonomy-sustainable-activities_en</w:t>
        </w:r>
      </w:hyperlink>
    </w:p>
    <w:p>
      <w:pPr>
        <w:pStyle w:val="ListBullet"/>
      </w:pPr>
      <w:r>
        <w:t xml:space="preserve">European Commission, Sustainable Finance Disclosure Regulation (SFDR) and revision. </w:t>
      </w:r>
      <w:hyperlink r:id="rId14">
        <w:r>
          <w:rPr>
            <w:color w:val="2E7D5C"/>
            <w:u w:val="single"/>
          </w:rPr>
          <w:t>https://finance.ec.europa.eu/sustainable-finance/disclosures/sustainability-related-disclosure-financial-services-sector_en</w:t>
        </w:r>
      </w:hyperlink>
    </w:p>
    <w:p>
      <w:pPr>
        <w:pStyle w:val="ListBullet"/>
      </w:pPr>
      <w:r>
        <w:t xml:space="preserve">ESMA, ESG Rating Providers and ESG Rating Regulation. </w:t>
      </w:r>
      <w:hyperlink r:id="rId15">
        <w:r>
          <w:rPr>
            <w:color w:val="2E7D5C"/>
            <w:u w:val="single"/>
          </w:rPr>
          <w:t>https://www.esma.europa.eu/esmas-activities/investors-and-issuers/esg-rating-providers</w:t>
        </w:r>
      </w:hyperlink>
    </w:p>
    <w:p>
      <w:pPr>
        <w:pStyle w:val="ListBullet"/>
      </w:pPr>
      <w:r>
        <w:t xml:space="preserve">EIOPA, Sustainable finance and climate insurance protection gaps. </w:t>
      </w:r>
      <w:hyperlink r:id="rId16">
        <w:r>
          <w:rPr>
            <w:color w:val="2E7D5C"/>
            <w:u w:val="single"/>
          </w:rPr>
          <w:t>https://www.eiopa.europa.eu/publications/sustainable-finance-past-current-and-future-supervisory-priority-eiopa_en</w:t>
        </w:r>
      </w:hyperlink>
    </w:p>
    <w:p>
      <w:pPr>
        <w:pStyle w:val="ListBullet"/>
      </w:pPr>
      <w:r>
        <w:t xml:space="preserve">EIOPA, Insurance protection gaps in a changing climate, 2026. </w:t>
      </w:r>
      <w:hyperlink r:id="rId17">
        <w:r>
          <w:rPr>
            <w:color w:val="2E7D5C"/>
            <w:u w:val="single"/>
          </w:rPr>
          <w:t>https://www.eiopa.europa.eu/insurance-protection-gaps-changing-climate-2026-04-16_en</w:t>
        </w:r>
      </w:hyperlink>
    </w:p>
    <w:p>
      <w:pPr>
        <w:pStyle w:val="ListBullet"/>
      </w:pPr>
      <w:r>
        <w:t xml:space="preserve">NGFS, climate-related and environmental financial risks. </w:t>
      </w:r>
      <w:hyperlink r:id="rId18">
        <w:r>
          <w:rPr>
            <w:color w:val="2E7D5C"/>
            <w:u w:val="single"/>
          </w:rPr>
          <w:t>https://www.ngfs.net</w:t>
        </w:r>
      </w:hyperlink>
    </w:p>
    <w:p>
      <w:pPr>
        <w:pStyle w:val="ListBullet"/>
      </w:pPr>
      <w:r>
        <w:t xml:space="preserve">Natalie Weber, Die neue Ordnung des Wohlstands, 2026, Kapitel 3, 59, 98. </w:t>
      </w:r>
      <w:r>
        <w:t>Interne WÖk-Quelle</w:t>
      </w:r>
    </w:p>
    <w:p>
      <w:pPr>
        <w:pStyle w:val="ListBullet"/>
      </w:pPr>
      <w:r>
        <w:t xml:space="preserve">Natalie Weber, Systemmodell der Wirkungsökonomie, Spalte Finanzsystem &amp; Kapital. </w:t>
      </w:r>
      <w:r>
        <w:t>Interne WÖk-Quelle</w:t>
      </w:r>
    </w:p>
    <w:p>
      <w:pPr>
        <w:pStyle w:val="ListBullet"/>
      </w:pPr>
      <w:r>
        <w:t xml:space="preserve">Natalie Weber, Whitepaper T-SROI, 2025. </w:t>
      </w:r>
      <w:r>
        <w:t>Interne WÖk-Quelle</w:t>
      </w:r>
    </w:p>
    <w:p>
      <w:pPr>
        <w:pStyle w:val="ListBullet"/>
      </w:pPr>
      <w:r>
        <w:t xml:space="preserve">Natalie Weber, WStG Oktober 2025 und WUStG-Leitlinien. </w:t>
      </w:r>
      <w:r>
        <w:t>Interne WÖk-Quelle</w:t>
      </w:r>
    </w:p>
    <w:p>
      <w:pPr>
        <w:pStyle w:val="ListBullet"/>
      </w:pPr>
      <w:r>
        <w:t xml:space="preserve">Natalie Weber, Wenn Maschinen arbeiten, 2025. </w:t>
      </w:r>
      <w:r>
        <w:t>Interne WÖk-Quelle</w:t>
      </w:r>
    </w:p>
    <w:sectPr w:rsidR="00FC693F" w:rsidRPr="0006063C" w:rsidSect="00034616">
      <w:headerReference w:type="default" r:id="rId9"/>
      <w:footerReference w:type="default" r:id="rId10"/>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E6E6E"/>
        <w:sz w:val="16"/>
      </w:rPr>
      <w:t>Wirkung statt Kapital · Für Mensch, Planet und Demokratie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color w:val="2E7D5C"/>
        <w:sz w:val="16"/>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B1026"/>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B1026"/>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B102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eba.europa.eu/publications-and-media/press-releases/eba-publishes-its-final-guidelines-management-esg-risks" TargetMode="External"/><Relationship Id="rId12" Type="http://schemas.openxmlformats.org/officeDocument/2006/relationships/hyperlink" Target="https://finance.ec.europa.eu/financial-markets/company-reporting-and-auditing/company-reporting/corporate-sustainability-reporting_en" TargetMode="External"/><Relationship Id="rId13" Type="http://schemas.openxmlformats.org/officeDocument/2006/relationships/hyperlink" Target="https://finance.ec.europa.eu/sustainable-finance/tools-and-standards/eu-taxonomy-sustainable-activities_en" TargetMode="External"/><Relationship Id="rId14" Type="http://schemas.openxmlformats.org/officeDocument/2006/relationships/hyperlink" Target="https://finance.ec.europa.eu/sustainable-finance/disclosures/sustainability-related-disclosure-financial-services-sector_en" TargetMode="External"/><Relationship Id="rId15" Type="http://schemas.openxmlformats.org/officeDocument/2006/relationships/hyperlink" Target="https://www.esma.europa.eu/esmas-activities/investors-and-issuers/esg-rating-providers" TargetMode="External"/><Relationship Id="rId16" Type="http://schemas.openxmlformats.org/officeDocument/2006/relationships/hyperlink" Target="https://www.eiopa.europa.eu/publications/sustainable-finance-past-current-and-future-supervisory-priority-eiopa_en" TargetMode="External"/><Relationship Id="rId17" Type="http://schemas.openxmlformats.org/officeDocument/2006/relationships/hyperlink" Target="https://www.eiopa.europa.eu/insurance-protection-gaps-changing-climate-2026-04-16_en" TargetMode="External"/><Relationship Id="rId18" Type="http://schemas.openxmlformats.org/officeDocument/2006/relationships/hyperlink" Target="https://www.ngf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