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Georgia" w:hAnsi="Georgia"/>
          <w:b/>
          <w:color w:val="0B1026"/>
          <w:sz w:val="28"/>
        </w:rPr>
        <w:t>WIRKUNGSÖKONOMIE</w:t>
      </w:r>
    </w:p>
    <w:p>
      <w:pPr>
        <w:jc w:val="center"/>
      </w:pPr>
      <w:r>
        <w:rPr>
          <w:rFonts w:ascii="Arial" w:hAnsi="Arial"/>
          <w:color w:val="C89B3C"/>
          <w:sz w:val="16"/>
        </w:rPr>
        <w:t>FÜR MENSCH, PLANET UND DEMOKRATIE</w:t>
      </w:r>
    </w:p>
    <w:p/>
    <w:p>
      <w:pPr>
        <w:jc w:val="center"/>
      </w:pPr>
      <w:r>
        <w:rPr>
          <w:rFonts w:ascii="Georgia" w:hAnsi="Georgia"/>
          <w:b/>
          <w:color w:val="0B1026"/>
          <w:sz w:val="54"/>
        </w:rPr>
        <w:t>Finanzsystem &amp; Kapital</w:t>
      </w:r>
    </w:p>
    <w:p>
      <w:pPr>
        <w:jc w:val="center"/>
      </w:pPr>
      <w:r>
        <w:rPr>
          <w:rFonts w:ascii="Arial" w:hAnsi="Arial"/>
          <w:color w:val="2E342C"/>
          <w:sz w:val="26"/>
        </w:rPr>
        <w:t>Kapital als Wirkungskraft, Finanzierbarkeit und Wirkungsfonds der Wirkungsökonomie</w:t>
      </w:r>
    </w:p>
    <w:p/>
    <w:tbl>
      <w:tblPr>
        <w:tblW w:type="auto" w:w="0"/>
        <w:jc w:val="center"/>
        <w:tblLook w:firstColumn="1" w:firstRow="1" w:lastColumn="0" w:lastRow="0" w:noHBand="0" w:noVBand="1" w:val="04A0"/>
      </w:tblPr>
      <w:tblGrid>
        <w:gridCol w:w="5040"/>
        <w:gridCol w:w="5040"/>
      </w:tblGrid>
      <w:tr>
        <w:tc>
          <w:tcPr>
            <w:tcW w:type="dxa" w:w="5040"/>
            <w:tcBorders>
              <w:top w:val="single" w:sz="4" w:color="D8D1C4"/>
              <w:left w:val="single" w:sz="4" w:color="D8D1C4"/>
              <w:bottom w:val="single" w:sz="4" w:color="D8D1C4"/>
              <w:right w:val="single" w:sz="4" w:color="D8D1C4"/>
            </w:tcBorders>
            <w:vAlign w:val="center"/>
            <w:shd w:fill="F6F1E8"/>
          </w:tcPr>
          <w:p>
            <w:r>
              <w:t>Autorin</w:t>
            </w:r>
          </w:p>
        </w:tc>
        <w:tc>
          <w:tcPr>
            <w:tcW w:type="dxa" w:w="5040"/>
            <w:tcBorders>
              <w:top w:val="single" w:sz="4" w:color="D8D1C4"/>
              <w:left w:val="single" w:sz="4" w:color="D8D1C4"/>
              <w:bottom w:val="single" w:sz="4" w:color="D8D1C4"/>
              <w:right w:val="single" w:sz="4" w:color="D8D1C4"/>
            </w:tcBorders>
            <w:vAlign w:val="center"/>
          </w:tcPr>
          <w:p>
            <w:r>
              <w:t>Natalie Weber</w:t>
            </w:r>
          </w:p>
        </w:tc>
      </w:tr>
      <w:tr>
        <w:tc>
          <w:tcPr>
            <w:tcW w:type="dxa" w:w="5040"/>
            <w:tcBorders>
              <w:top w:val="single" w:sz="4" w:color="D8D1C4"/>
              <w:left w:val="single" w:sz="4" w:color="D8D1C4"/>
              <w:bottom w:val="single" w:sz="4" w:color="D8D1C4"/>
              <w:right w:val="single" w:sz="4" w:color="D8D1C4"/>
            </w:tcBorders>
            <w:vAlign w:val="center"/>
            <w:shd w:fill="F6F1E8"/>
          </w:tcPr>
          <w:p>
            <w:r>
              <w:t>Referenz</w:t>
            </w:r>
          </w:p>
        </w:tc>
        <w:tc>
          <w:tcPr>
            <w:tcW w:type="dxa" w:w="5040"/>
            <w:tcBorders>
              <w:top w:val="single" w:sz="4" w:color="D8D1C4"/>
              <w:left w:val="single" w:sz="4" w:color="D8D1C4"/>
              <w:bottom w:val="single" w:sz="4" w:color="D8D1C4"/>
              <w:right w:val="single" w:sz="4" w:color="D8D1C4"/>
            </w:tcBorders>
            <w:vAlign w:val="center"/>
          </w:tcPr>
          <w:p>
            <w:r>
              <w:t>Wirkungsökonomie</w:t>
            </w:r>
          </w:p>
        </w:tc>
      </w:tr>
      <w:tr>
        <w:tc>
          <w:tcPr>
            <w:tcW w:type="dxa" w:w="5040"/>
            <w:tcBorders>
              <w:top w:val="single" w:sz="4" w:color="D8D1C4"/>
              <w:left w:val="single" w:sz="4" w:color="D8D1C4"/>
              <w:bottom w:val="single" w:sz="4" w:color="D8D1C4"/>
              <w:right w:val="single" w:sz="4" w:color="D8D1C4"/>
            </w:tcBorders>
            <w:vAlign w:val="center"/>
            <w:shd w:fill="F6F1E8"/>
          </w:tcPr>
          <w:p>
            <w:r>
              <w:t>Version</w:t>
            </w:r>
          </w:p>
        </w:tc>
        <w:tc>
          <w:tcPr>
            <w:tcW w:type="dxa" w:w="5040"/>
            <w:tcBorders>
              <w:top w:val="single" w:sz="4" w:color="D8D1C4"/>
              <w:left w:val="single" w:sz="4" w:color="D8D1C4"/>
              <w:bottom w:val="single" w:sz="4" w:color="D8D1C4"/>
              <w:right w:val="single" w:sz="4" w:color="D8D1C4"/>
            </w:tcBorders>
            <w:vAlign w:val="center"/>
          </w:tcPr>
          <w:p>
            <w:r>
              <w:t>v0.1</w:t>
            </w:r>
          </w:p>
        </w:tc>
      </w:tr>
      <w:tr>
        <w:tc>
          <w:tcPr>
            <w:tcW w:type="dxa" w:w="5040"/>
            <w:tcBorders>
              <w:top w:val="single" w:sz="4" w:color="D8D1C4"/>
              <w:left w:val="single" w:sz="4" w:color="D8D1C4"/>
              <w:bottom w:val="single" w:sz="4" w:color="D8D1C4"/>
              <w:right w:val="single" w:sz="4" w:color="D8D1C4"/>
            </w:tcBorders>
            <w:vAlign w:val="center"/>
            <w:shd w:fill="F6F1E8"/>
          </w:tcPr>
          <w:p>
            <w:r>
              <w:t>Status</w:t>
            </w:r>
          </w:p>
        </w:tc>
        <w:tc>
          <w:tcPr>
            <w:tcW w:type="dxa" w:w="5040"/>
            <w:tcBorders>
              <w:top w:val="single" w:sz="4" w:color="D8D1C4"/>
              <w:left w:val="single" w:sz="4" w:color="D8D1C4"/>
              <w:bottom w:val="single" w:sz="4" w:color="D8D1C4"/>
              <w:right w:val="single" w:sz="4" w:color="D8D1C4"/>
            </w:tcBorders>
            <w:vAlign w:val="center"/>
          </w:tcPr>
          <w:p>
            <w:r>
              <w:t>Konzeptpapier · Diskussionsfassung</w:t>
            </w:r>
          </w:p>
        </w:tc>
      </w:tr>
      <w:tr>
        <w:tc>
          <w:tcPr>
            <w:tcW w:type="dxa" w:w="5040"/>
            <w:tcBorders>
              <w:top w:val="single" w:sz="4" w:color="D8D1C4"/>
              <w:left w:val="single" w:sz="4" w:color="D8D1C4"/>
              <w:bottom w:val="single" w:sz="4" w:color="D8D1C4"/>
              <w:right w:val="single" w:sz="4" w:color="D8D1C4"/>
            </w:tcBorders>
            <w:vAlign w:val="center"/>
            <w:shd w:fill="F6F1E8"/>
          </w:tcPr>
          <w:p>
            <w:r>
              <w:t>Stand</w:t>
            </w:r>
          </w:p>
        </w:tc>
        <w:tc>
          <w:tcPr>
            <w:tcW w:type="dxa" w:w="5040"/>
            <w:tcBorders>
              <w:top w:val="single" w:sz="4" w:color="D8D1C4"/>
              <w:left w:val="single" w:sz="4" w:color="D8D1C4"/>
              <w:bottom w:val="single" w:sz="4" w:color="D8D1C4"/>
              <w:right w:val="single" w:sz="4" w:color="D8D1C4"/>
            </w:tcBorders>
            <w:vAlign w:val="center"/>
          </w:tcPr>
          <w:p>
            <w:r>
              <w:t>Mai 2026</w:t>
            </w:r>
          </w:p>
        </w:tc>
      </w:tr>
    </w:tbl>
    <w:p>
      <w:r>
        <w:br w:type="page"/>
      </w:r>
    </w:p>
    <w:p>
      <w:pPr>
        <w:pStyle w:val="Heading1"/>
      </w:pPr>
      <w:r>
        <w:t>Executive Summary</w:t>
      </w:r>
    </w:p>
    <w:p>
      <w:r>
        <w:t>Dieses Konzeptpapier beschreibt das Finanzsystem der Wirkungsökonomie als jene Infrastruktur, die Kapital von einem Zielmaß in ein Werkzeug positiver Netto-Wirkung verwandelt. Kapital wird nicht abgeschafft und nicht moralisch verurteilt. Es wird präziser befragt: Welche Zustände verändert es? Welche Risiken erzeugt es? Welche Resilienz finanziert es? Welche demokratischen Räume stärkt oder schwächt es?</w:t>
      </w:r>
    </w:p>
    <w:tbl>
      <w:tblPr>
        <w:tblW w:type="auto" w:w="0"/>
        <w:jc w:val="center"/>
        <w:tblLook w:firstColumn="1" w:firstRow="1" w:lastColumn="0" w:lastRow="0" w:noHBand="0" w:noVBand="1" w:val="04A0"/>
      </w:tblPr>
      <w:tblGrid>
        <w:gridCol w:w="10080"/>
      </w:tblGrid>
      <w:tr>
        <w:tc>
          <w:tcPr>
            <w:tcW w:type="dxa" w:w="10080"/>
            <w:shd w:fill="F6F1E8"/>
            <w:tcBorders>
              <w:top w:val="single" w:sz="6" w:color="D8D1C4"/>
              <w:left w:val="single" w:sz="6" w:color="D8D1C4"/>
              <w:bottom w:val="single" w:sz="6" w:color="D8D1C4"/>
              <w:right w:val="single" w:sz="6" w:color="D8D1C4"/>
            </w:tcBorders>
          </w:tcPr>
          <w:p>
            <w:r>
              <w:rPr>
                <w:rFonts w:ascii="Arial" w:hAnsi="Arial"/>
                <w:b/>
                <w:color w:val="2E7D5C"/>
                <w:sz w:val="20"/>
              </w:rPr>
              <w:t>Kernthese</w:t>
            </w:r>
          </w:p>
          <w:p>
            <w:pPr>
              <w:spacing w:after="60"/>
            </w:pPr>
            <w:r>
              <w:t>Kapital darf Rendite erzeugen. Aber Rendite ist Folge, nicht Ziel. Wirkung ist der Maßstab; Rendite ist ein Tragfähigkeitssignal. Ein Finanzsystem der Wirkungsökonomie fragt nicht nur: Was bekomme ich zurück? Es fragt zuerst: Was entsteht durch meinen Kapitaleinsatz?</w:t>
            </w:r>
          </w:p>
        </w:tc>
      </w:tr>
    </w:tbl>
    <w:p>
      <w:pPr>
        <w:pStyle w:val="Heading1"/>
      </w:pPr>
      <w:r>
        <w:t>1. Warum das Finanzsystem ein eigenes Wirkungsfeld ist</w:t>
      </w:r>
    </w:p>
    <w:p>
      <w:r>
        <w:t>Finanzsysteme entscheiden nicht nur über Geld. Sie entscheiden darüber, welche Zukunft bezahlbar wird. Kreditkonditionen, Versicherbarkeit, Kapitalzugang, Ratings, Fondsregeln und Renditeerwartungen legen fest, ob Pflege, Bildung, Transformation, Resilienz und demokratische Infrastruktur finanziert werden oder ob Kapital weiterhin in Spekulation, fossile Pfadverlängerung, Wohnraumverknappung, Desinformation oder Ausbeutung fließt.</w:t>
      </w:r>
    </w:p>
    <w:p>
      <w:r>
        <w:t>Im alten Modell erscheint Nachhaltigkeit häufig als Risiko-, Reporting- oder Reputationsfaktor. Im Wirkungsmodell wird sie zur Rückkopplungslogik: Wirkungsdaten gehen in Preise, Steuern, Kapitalzugang, Versicherbarkeit, Beschaffung, Managemententscheidungen, Fondsallokation und politische Haushalte ein.</w:t>
      </w:r>
    </w:p>
    <w:p>
      <w:pPr>
        <w:pStyle w:val="Heading1"/>
      </w:pPr>
      <w:r>
        <w:t>2. Alte Logik / neues Wirkungsmodell</w:t>
      </w:r>
    </w:p>
    <w:tbl>
      <w:tblPr>
        <w:tblW w:type="auto" w:w="0"/>
        <w:jc w:val="center"/>
        <w:tblLook w:firstColumn="1" w:firstRow="1" w:lastColumn="0" w:lastRow="0" w:noHBand="0" w:noVBand="1" w:val="04A0"/>
      </w:tblPr>
      <w:tblGrid>
        <w:gridCol w:w="5040"/>
        <w:gridCol w:w="5040"/>
      </w:tblGrid>
      <w:tr>
        <w:tc>
          <w:tcPr>
            <w:tcW w:type="dxa" w:w="5040"/>
            <w:shd w:fill="F6F1E8"/>
            <w:tcBorders>
              <w:top w:val="single" w:sz="4" w:color="D8D1C4"/>
              <w:left w:val="single" w:sz="4" w:color="D8D1C4"/>
              <w:bottom w:val="single" w:sz="4" w:color="D8D1C4"/>
              <w:right w:val="single" w:sz="4" w:color="D8D1C4"/>
            </w:tcBorders>
          </w:tcPr>
          <w:p>
            <w:r>
              <w:rPr>
                <w:b/>
              </w:rPr>
              <w:t>Alte Logik</w:t>
            </w:r>
          </w:p>
        </w:tc>
        <w:tc>
          <w:tcPr>
            <w:tcW w:type="dxa" w:w="5040"/>
            <w:shd w:fill="F6F1E8"/>
            <w:tcBorders>
              <w:top w:val="single" w:sz="4" w:color="D8D1C4"/>
              <w:left w:val="single" w:sz="4" w:color="D8D1C4"/>
              <w:bottom w:val="single" w:sz="4" w:color="D8D1C4"/>
              <w:right w:val="single" w:sz="4" w:color="D8D1C4"/>
            </w:tcBorders>
          </w:tcPr>
          <w:p>
            <w:r>
              <w:rPr>
                <w:b/>
              </w:rPr>
              <w:t>Wirkungsökonomisches Modell</w:t>
            </w:r>
          </w:p>
        </w:tc>
      </w:tr>
      <w:tr>
        <w:tc>
          <w:tcPr>
            <w:tcW w:type="dxa" w:w="5040"/>
            <w:tcBorders>
              <w:top w:val="single" w:sz="4" w:color="D8D1C4"/>
              <w:left w:val="single" w:sz="4" w:color="D8D1C4"/>
              <w:bottom w:val="single" w:sz="4" w:color="D8D1C4"/>
              <w:right w:val="single" w:sz="4" w:color="D8D1C4"/>
            </w:tcBorders>
            <w:vAlign w:val="top"/>
          </w:tcPr>
          <w:p>
            <w:r>
              <w:t>Rendite maximieren</w:t>
            </w:r>
          </w:p>
        </w:tc>
        <w:tc>
          <w:tcPr>
            <w:tcW w:type="dxa" w:w="5040"/>
            <w:tcBorders>
              <w:top w:val="single" w:sz="4" w:color="D8D1C4"/>
              <w:left w:val="single" w:sz="4" w:color="D8D1C4"/>
              <w:bottom w:val="single" w:sz="4" w:color="D8D1C4"/>
              <w:right w:val="single" w:sz="4" w:color="D8D1C4"/>
            </w:tcBorders>
            <w:vAlign w:val="top"/>
          </w:tcPr>
          <w:p>
            <w:r>
              <w:t>Wirkung zuerst prüfen; Rendite als Tragfähigkeitssignal lesen.</w:t>
            </w:r>
          </w:p>
        </w:tc>
      </w:tr>
      <w:tr>
        <w:tc>
          <w:tcPr>
            <w:tcW w:type="dxa" w:w="5040"/>
            <w:tcBorders>
              <w:top w:val="single" w:sz="4" w:color="D8D1C4"/>
              <w:left w:val="single" w:sz="4" w:color="D8D1C4"/>
              <w:bottom w:val="single" w:sz="4" w:color="D8D1C4"/>
              <w:right w:val="single" w:sz="4" w:color="D8D1C4"/>
            </w:tcBorders>
            <w:vAlign w:val="top"/>
          </w:tcPr>
          <w:p>
            <w:r>
              <w:t>ESG als Risikobericht</w:t>
            </w:r>
          </w:p>
        </w:tc>
        <w:tc>
          <w:tcPr>
            <w:tcW w:type="dxa" w:w="5040"/>
            <w:tcBorders>
              <w:top w:val="single" w:sz="4" w:color="D8D1C4"/>
              <w:left w:val="single" w:sz="4" w:color="D8D1C4"/>
              <w:bottom w:val="single" w:sz="4" w:color="D8D1C4"/>
              <w:right w:val="single" w:sz="4" w:color="D8D1C4"/>
            </w:tcBorders>
            <w:vAlign w:val="top"/>
          </w:tcPr>
          <w:p>
            <w:r>
              <w:t>Wirkungsdaten als Steuerungsdaten für Kapitalzugang, Zinsen, Versicherbarkeit und Fondslogik.</w:t>
            </w:r>
          </w:p>
        </w:tc>
      </w:tr>
      <w:tr>
        <w:tc>
          <w:tcPr>
            <w:tcW w:type="dxa" w:w="5040"/>
            <w:tcBorders>
              <w:top w:val="single" w:sz="4" w:color="D8D1C4"/>
              <w:left w:val="single" w:sz="4" w:color="D8D1C4"/>
              <w:bottom w:val="single" w:sz="4" w:color="D8D1C4"/>
              <w:right w:val="single" w:sz="4" w:color="D8D1C4"/>
            </w:tcBorders>
            <w:vAlign w:val="top"/>
          </w:tcPr>
          <w:p>
            <w:r>
              <w:t>Portfolio-Diversifikation nach Assetklassen</w:t>
            </w:r>
          </w:p>
        </w:tc>
        <w:tc>
          <w:tcPr>
            <w:tcW w:type="dxa" w:w="5040"/>
            <w:tcBorders>
              <w:top w:val="single" w:sz="4" w:color="D8D1C4"/>
              <w:left w:val="single" w:sz="4" w:color="D8D1C4"/>
              <w:bottom w:val="single" w:sz="4" w:color="D8D1C4"/>
              <w:right w:val="single" w:sz="4" w:color="D8D1C4"/>
            </w:tcBorders>
            <w:vAlign w:val="top"/>
          </w:tcPr>
          <w:p>
            <w:r>
              <w:t>Portfolio-Wirkung nach Mensch, Planet, Demokratie, roten Linien und Transformationspfaden.</w:t>
            </w:r>
          </w:p>
        </w:tc>
      </w:tr>
      <w:tr>
        <w:tc>
          <w:tcPr>
            <w:tcW w:type="dxa" w:w="5040"/>
            <w:tcBorders>
              <w:top w:val="single" w:sz="4" w:color="D8D1C4"/>
              <w:left w:val="single" w:sz="4" w:color="D8D1C4"/>
              <w:bottom w:val="single" w:sz="4" w:color="D8D1C4"/>
              <w:right w:val="single" w:sz="4" w:color="D8D1C4"/>
            </w:tcBorders>
            <w:vAlign w:val="top"/>
          </w:tcPr>
          <w:p>
            <w:r>
              <w:t>Banken prüfen Sicherheiten und Bonität</w:t>
            </w:r>
          </w:p>
        </w:tc>
        <w:tc>
          <w:tcPr>
            <w:tcW w:type="dxa" w:w="5040"/>
            <w:tcBorders>
              <w:top w:val="single" w:sz="4" w:color="D8D1C4"/>
              <w:left w:val="single" w:sz="4" w:color="D8D1C4"/>
              <w:bottom w:val="single" w:sz="4" w:color="D8D1C4"/>
              <w:right w:val="single" w:sz="4" w:color="D8D1C4"/>
            </w:tcBorders>
            <w:vAlign w:val="top"/>
          </w:tcPr>
          <w:p>
            <w:r>
              <w:t>Banken prüfen zusätzlich Zukunftsfähigkeit, Wirkungspfad, Resilienz, Datenqualität und Übergangsrisiken.</w:t>
            </w:r>
          </w:p>
        </w:tc>
      </w:tr>
      <w:tr>
        <w:tc>
          <w:tcPr>
            <w:tcW w:type="dxa" w:w="5040"/>
            <w:tcBorders>
              <w:top w:val="single" w:sz="4" w:color="D8D1C4"/>
              <w:left w:val="single" w:sz="4" w:color="D8D1C4"/>
              <w:bottom w:val="single" w:sz="4" w:color="D8D1C4"/>
              <w:right w:val="single" w:sz="4" w:color="D8D1C4"/>
            </w:tcBorders>
            <w:vAlign w:val="top"/>
          </w:tcPr>
          <w:p>
            <w:r>
              <w:t>Versicherungen kalkulieren historische Schäden</w:t>
            </w:r>
          </w:p>
        </w:tc>
        <w:tc>
          <w:tcPr>
            <w:tcW w:type="dxa" w:w="5040"/>
            <w:tcBorders>
              <w:top w:val="single" w:sz="4" w:color="D8D1C4"/>
              <w:left w:val="single" w:sz="4" w:color="D8D1C4"/>
              <w:bottom w:val="single" w:sz="4" w:color="D8D1C4"/>
              <w:right w:val="single" w:sz="4" w:color="D8D1C4"/>
            </w:tcBorders>
            <w:vAlign w:val="top"/>
          </w:tcPr>
          <w:p>
            <w:r>
              <w:t>Versicherungen bewerten forward-looking Resilienz, Klimarisiken, Prävention und Schutzlücken.</w:t>
            </w:r>
          </w:p>
        </w:tc>
      </w:tr>
      <w:tr>
        <w:tc>
          <w:tcPr>
            <w:tcW w:type="dxa" w:w="5040"/>
            <w:tcBorders>
              <w:top w:val="single" w:sz="4" w:color="D8D1C4"/>
              <w:left w:val="single" w:sz="4" w:color="D8D1C4"/>
              <w:bottom w:val="single" w:sz="4" w:color="D8D1C4"/>
              <w:right w:val="single" w:sz="4" w:color="D8D1C4"/>
            </w:tcBorders>
            <w:vAlign w:val="top"/>
          </w:tcPr>
          <w:p>
            <w:r>
              <w:t>Fonds optimieren Rendite/Label</w:t>
            </w:r>
          </w:p>
        </w:tc>
        <w:tc>
          <w:tcPr>
            <w:tcW w:type="dxa" w:w="5040"/>
            <w:tcBorders>
              <w:top w:val="single" w:sz="4" w:color="D8D1C4"/>
              <w:left w:val="single" w:sz="4" w:color="D8D1C4"/>
              <w:bottom w:val="single" w:sz="4" w:color="D8D1C4"/>
              <w:right w:val="single" w:sz="4" w:color="D8D1C4"/>
            </w:tcBorders>
            <w:vAlign w:val="top"/>
          </w:tcPr>
          <w:p>
            <w:r>
              <w:t>Wirkungsfonds finanzieren positive Netto-Wirkung, reduzieren Systemrisiko und vermeiden Wirkungssimulation.</w:t>
            </w:r>
          </w:p>
        </w:tc>
      </w:tr>
      <w:tr>
        <w:tc>
          <w:tcPr>
            <w:tcW w:type="dxa" w:w="5040"/>
            <w:tcBorders>
              <w:top w:val="single" w:sz="4" w:color="D8D1C4"/>
              <w:left w:val="single" w:sz="4" w:color="D8D1C4"/>
              <w:bottom w:val="single" w:sz="4" w:color="D8D1C4"/>
              <w:right w:val="single" w:sz="4" w:color="D8D1C4"/>
            </w:tcBorders>
            <w:vAlign w:val="top"/>
          </w:tcPr>
          <w:p>
            <w:r>
              <w:t>Automatisierung privatisiert Produktivitätsgewinne</w:t>
            </w:r>
          </w:p>
        </w:tc>
        <w:tc>
          <w:tcPr>
            <w:tcW w:type="dxa" w:w="5040"/>
            <w:tcBorders>
              <w:top w:val="single" w:sz="4" w:color="D8D1C4"/>
              <w:left w:val="single" w:sz="4" w:color="D8D1C4"/>
              <w:bottom w:val="single" w:sz="4" w:color="D8D1C4"/>
              <w:right w:val="single" w:sz="4" w:color="D8D1C4"/>
            </w:tcBorders>
            <w:vAlign w:val="top"/>
          </w:tcPr>
          <w:p>
            <w:r>
              <w:t>Automatisierungsdividende koppelt Maschinenwertschöpfung an Wirkungsdividende, Sozialstabilität und Innovation.</w:t>
            </w:r>
          </w:p>
        </w:tc>
      </w:tr>
    </w:tbl>
    <w:p>
      <w:pPr>
        <w:pStyle w:val="Heading1"/>
      </w:pPr>
      <w:r>
        <w:t>3. Gegenwartsanschluss: Was heute bereits verlangt wird</w:t>
      </w:r>
    </w:p>
    <w:p>
      <w:pPr>
        <w:pStyle w:val="ListBullet"/>
      </w:pPr>
      <w:r>
        <w:t>Banken: Die EBA-Leitlinien zum Management von ESG-Risiken verlangen Identifikation, Messung, Management und Monitoring von ESG-Risiken sowie Pläne für Resilienz in kurzen, mittleren und langen Zeithorizonten.</w:t>
      </w:r>
    </w:p>
    <w:p>
      <w:pPr>
        <w:pStyle w:val="ListBullet"/>
      </w:pPr>
      <w:r>
        <w:t>Unternehmen: CSRD-pflichtige Unternehmen berichten nach ESRS. Die Datenwelt aus CSRD, ESRS, GRI und EU-Taxonomie ist keine vollständige Wirkungsökonomie, bildet aber einen wichtigen Datenanschluss.</w:t>
      </w:r>
    </w:p>
    <w:p>
      <w:pPr>
        <w:pStyle w:val="ListBullet"/>
      </w:pPr>
      <w:r>
        <w:t>Kapitalmarkt: Die EU-Taxonomie schafft eine gemeinsame Definition umweltbezogen nachhaltiger Aktivitäten; SFDR soll Anleger:innen nachhaltigkeitsbezogene Informationen vergleichbarer machen, befindet sich aber in der Überarbeitung.</w:t>
      </w:r>
    </w:p>
    <w:p>
      <w:pPr>
        <w:pStyle w:val="ListBullet"/>
      </w:pPr>
      <w:r>
        <w:t>ESG-Ratings: Die EU-Regulierung für ESG-Ratinganbieter bringt ab 2026 mehr Transparenz und Aufsicht durch ESMA; dennoch bleiben ESG-Ratings methodisch unterschiedlich und ersetzen keine Netto-Wirkungsbewertung.</w:t>
      </w:r>
    </w:p>
    <w:p>
      <w:pPr>
        <w:pStyle w:val="ListBullet"/>
      </w:pPr>
      <w:r>
        <w:t>Versicherungen: Aufsicht und Versicherungswirtschaft behandeln Klima- und Nachhaltigkeitsrisiken zunehmend als finanzielle Stabilitätsrisiken. Versicherbarkeit wird damit ein Hinweis auf Systemresilienz.</w:t>
      </w:r>
    </w:p>
    <w:p>
      <w:pPr>
        <w:pStyle w:val="Heading1"/>
      </w:pPr>
      <w:r>
        <w:t>4. Leitprinzipien</w:t>
      </w:r>
    </w:p>
    <w:p>
      <w:r>
        <w:rPr>
          <w:b/>
          <w:color w:val="0B1026"/>
        </w:rPr>
        <w:t>Kapital ist Werkzeug, nicht Kompass.:</w:t>
      </w:r>
      <w:r>
        <w:t xml:space="preserve"> Kapital darf handeln, beschleunigen, finanzieren und absichern. Es entscheidet aber nicht selbst, was gesellschaftlich wertvoll ist.</w:t>
      </w:r>
    </w:p>
    <w:p>
      <w:r>
        <w:rPr>
          <w:b/>
          <w:color w:val="0B1026"/>
        </w:rPr>
        <w:t>Rendite ist Folge, nicht Ziel.:</w:t>
      </w:r>
      <w:r>
        <w:t xml:space="preserve"> Finanzielle Tragfähigkeit bleibt wichtig, verliert aber den Rang des obersten Maßstabs. Rendite zeigt Tragfähigkeit; Wirkung zeigt Richtung.</w:t>
      </w:r>
    </w:p>
    <w:p>
      <w:r>
        <w:rPr>
          <w:b/>
          <w:color w:val="0B1026"/>
        </w:rPr>
        <w:t>Wirkung wird Risiko- und Steuerungsinformation.:</w:t>
      </w:r>
      <w:r>
        <w:t xml:space="preserve"> Klimarisiko, Wasserstress, Biodiversitätsverlust, soziale Instabilität, Desinformation und Governance-Schwäche werden als Finanzrisiken und Wirkungsrisiken lesbar.</w:t>
      </w:r>
    </w:p>
    <w:p>
      <w:r>
        <w:rPr>
          <w:b/>
          <w:color w:val="0B1026"/>
        </w:rPr>
        <w:t>Portfolio-Wirkung statt Einzel-Label.:</w:t>
      </w:r>
      <w:r>
        <w:t xml:space="preserve"> Ein einzelnes grünes Investment reicht nicht, wenn das Gesamtportfolio weiter fossile Lock-ins, Wohnspekulation oder demokratiegefährdende Modelle finanziert.</w:t>
      </w:r>
    </w:p>
    <w:p>
      <w:r>
        <w:rPr>
          <w:b/>
          <w:color w:val="0B1026"/>
        </w:rPr>
        <w:t>Nichtkompensation bleibt Schutzregel.:</w:t>
      </w:r>
      <w:r>
        <w:t xml:space="preserve"> Schwere negative Wirkung darf nicht durch positive Einzelwerte schöngerechnet werden. Reverse Merit Order, rote Linien und NWI bleiben verbindlich.</w:t>
      </w:r>
    </w:p>
    <w:p>
      <w:r>
        <w:rPr>
          <w:b/>
          <w:color w:val="0B1026"/>
        </w:rPr>
        <w:t>Demokratische Kontrolle statt Finanztechnokratie.:</w:t>
      </w:r>
      <w:r>
        <w:t xml:space="preserve"> Wirkungsdaten bereiten Kapitalentscheidungen vor, ersetzen aber keine demokratisch legitimierten Regeln, Grundrechte und Korrekturverfahren.</w:t>
      </w:r>
    </w:p>
    <w:p>
      <w:pPr>
        <w:pStyle w:val="Heading1"/>
      </w:pPr>
      <w:r>
        <w:t>5. Architektur des wirkungsökonomischen Finanzsystems</w:t>
      </w:r>
    </w:p>
    <w:p>
      <w:r>
        <w:t>Die Finanzarchitektur besteht aus vier Schichten: Daten, Bewertung, Rückkopplung und Finanzierung. Daten entstehen aus WÖk-IDs, CSRD/ESRS, EU-Taxonomie, Lieferketten, Versicherungsdaten, Produktpässen, öffentlichen Statistiken und Wirkungsdatenräumen. Bewertung erfolgt über NWI, Scorecards, Reverse Merit Order, T-SROI, Portfolio-Wirkungsrating und Datenqualitätsklassen. Rückkopplung geschieht über Zinsen, Kapitalunterlegung, Versicherbarkeit, Steuern, öffentliche Beschaffung, Fondsregeln und Wirkungsberichte. Finanzierung erfolgt über Wirkungskredite, Wirkungskapitalbanken, Bürger:innenfonds, Transformationsfonds und den zentralen Wirkungsfonds.</w:t>
      </w:r>
    </w:p>
    <w:p>
      <w:pPr>
        <w:pStyle w:val="Heading2"/>
      </w:pPr>
      <w:r>
        <w:t>Kapital als Wirkungskraft</w:t>
      </w:r>
    </w:p>
    <w:p>
      <w:r>
        <w:t>Kapital wird vom Machtmittel zur öffentlichen Wirkungskraft. Es dient Regeneration, Innovation, sozialer Stabilität, Demokratie und Resilienz.</w:t>
      </w:r>
    </w:p>
    <w:p>
      <w:pPr>
        <w:pStyle w:val="Heading2"/>
      </w:pPr>
      <w:r>
        <w:t>Kapitalwirkung statt Kapitalrendite</w:t>
      </w:r>
    </w:p>
    <w:p>
      <w:r>
        <w:t>Kapitalrendite fragt nach finanzieller Rückkehr. Kapitalwirkung fragt, welche Zustandsveränderung durch den Kapitaleinsatz entsteht.</w:t>
      </w:r>
    </w:p>
    <w:p>
      <w:pPr>
        <w:pStyle w:val="Heading2"/>
      </w:pPr>
      <w:r>
        <w:t>Portfolio-Wirkungsrating und Kapitalwirkungsindex</w:t>
      </w:r>
    </w:p>
    <w:p>
      <w:r>
        <w:t>Portfolios werden nicht nur nach Risiko/Rendite gestreut, sondern nach positiver Netto-Wirkung, roten Linien, Transformation und Resilienz geprüft.</w:t>
      </w:r>
    </w:p>
    <w:p>
      <w:pPr>
        <w:pStyle w:val="Heading2"/>
      </w:pPr>
      <w:r>
        <w:t>Banken, Wirkungskredite und EBA-Anschluss</w:t>
      </w:r>
    </w:p>
    <w:p>
      <w:r>
        <w:t>Banken werden von Sicherheitenlogik zu Zukunftsfinanzierern weiterentwickelt. Die EBA-ESG-Risikoanforderungen sind ein realer Anschluss.</w:t>
      </w:r>
    </w:p>
    <w:p>
      <w:pPr>
        <w:pStyle w:val="Heading2"/>
      </w:pPr>
      <w:r>
        <w:t>Versicherungen, Versicherbarkeit und Resilienz</w:t>
      </w:r>
    </w:p>
    <w:p>
      <w:r>
        <w:t>Versicherbarkeit wird zu einem Wirkungsindikator. Risiken, die private Märkte nicht mehr tragen können, zeigen Systemgrenzen.</w:t>
      </w:r>
    </w:p>
    <w:p>
      <w:pPr>
        <w:pStyle w:val="Heading2"/>
      </w:pPr>
      <w:r>
        <w:t>ESG-Ratings, Börsen und Impact Exchange</w:t>
      </w:r>
    </w:p>
    <w:p>
      <w:r>
        <w:t>ESG-Ratings zeigen Risiken, aber nicht automatisch Wirkung. Wirkungskapitalmärkte brauchen Transparenz, Vergleichbarkeit und Schutz vor Wirkungssimulation.</w:t>
      </w:r>
    </w:p>
    <w:p>
      <w:pPr>
        <w:pStyle w:val="Heading2"/>
      </w:pPr>
      <w:r>
        <w:t>Wirkungsfonds als Dacharchitektur</w:t>
      </w:r>
    </w:p>
    <w:p>
      <w:r>
        <w:t>Wirkungsfonds finanzieren Prävention, Transformation, Resilienz, soziale Entlastung und Zukunftsinfrastruktur, bevor sie sich im alten System rechnen.</w:t>
      </w:r>
    </w:p>
    <w:p>
      <w:pPr>
        <w:pStyle w:val="Heading2"/>
      </w:pPr>
      <w:r>
        <w:t>Bürger:innenfonds, Wirkungsrente und Teilhabe am Kapital</w:t>
      </w:r>
    </w:p>
    <w:p>
      <w:r>
        <w:t>Kapitalzugang wird demokratisiert. Bürger:innenfonds verbinden sichere Altersvorsorge, Wirkungsrendite und Beteiligung an Zukunftsinfrastruktur.</w:t>
      </w:r>
    </w:p>
    <w:p>
      <w:pPr>
        <w:pStyle w:val="Heading2"/>
      </w:pPr>
      <w:r>
        <w:t>Steuer- und Abgabenarchitektur des Kapitals</w:t>
      </w:r>
    </w:p>
    <w:p>
      <w:r>
        <w:t>Wirkungskörperschaftsteuer, Wirkungsgewerbesteuer, Vermögens- und Erbschaftslogik, WUStG, WEstG und Kapitalwirkungsaufschläge werden systemisch verknüpft.</w:t>
      </w:r>
    </w:p>
    <w:p>
      <w:pPr>
        <w:pStyle w:val="Heading2"/>
      </w:pPr>
      <w:r>
        <w:t>Automatisierungsdividende und Maschinenwertschöpfung</w:t>
      </w:r>
    </w:p>
    <w:p>
      <w:r>
        <w:t>Produktivitätsgewinne aus KI, Robotik und autonomen Systemen werden nicht gegen Innovation gewendet, sondern sozial rückgekoppelt.</w:t>
      </w:r>
    </w:p>
    <w:p>
      <w:pPr>
        <w:pStyle w:val="Heading2"/>
      </w:pPr>
      <w:r>
        <w:t>Wirkungsaufsicht, Kapitalmissbrauch und toxische Finanzprodukte</w:t>
      </w:r>
    </w:p>
    <w:p>
      <w:r>
        <w:t>Finanzaufsicht wird um Wirkungsrisiko, algorithmische Kapitalentscheidungen, Oligarchienetzwerke und demokratiegefährdende Finanzprodukte erweitert.</w:t>
      </w:r>
    </w:p>
    <w:p>
      <w:pPr>
        <w:pStyle w:val="Heading2"/>
      </w:pPr>
      <w:r>
        <w:t>Finanzkompetenz 2.0 und demokratische Kontrolle</w:t>
      </w:r>
    </w:p>
    <w:p>
      <w:r>
        <w:t>Bürger:innen, Analyst:innen, Banken, Fonds und Aufsicht brauchen Wirkungskompetenz, Systemdenken, Datenkompetenz und KI-Finanzethik.</w:t>
      </w:r>
    </w:p>
    <w:p>
      <w:pPr>
        <w:pStyle w:val="Heading1"/>
      </w:pPr>
      <w:r>
        <w:t>6. Steuer- und Fondslogik</w:t>
      </w:r>
    </w:p>
    <w:p>
      <w:r>
        <w:t>Das Finanzsystem &amp; Kapital bündelt alle kapitalbezogenen Fragen, die in anderen Rängen nur angerissen werden: Wirkungskörperschaftsteuer, Wirkungsgewerbesteuer, Kapitalwirkungsaufschläge, wirkungsgebundene Vermögensteuer, Wirkungserbschaftsteuer, Automatisierungsdividende, Wirkungsdividende, Bürger:innenfonds, Rentenfonds, Bildungsfonds, Gesundheitsfonds, Medien-/Demokratiefonds, Resilienzfonds und Transformationsfonds.</w:t>
      </w:r>
    </w:p>
    <w:p>
      <w:r>
        <w:t>Die Grundlogik ist nicht neue Steuerlast um ihrer selbst willen. Sie lautet: Kapital, das negative Systemwirkung erzeugt, trägt höhere Rückkopplungskosten. Kapital, das positive Netto-Wirkung, Resilienz und Transformation ermöglicht, erhält günstigeren Zugang, geringere Finanzierungskosten und bessere Fondsfähigkeit.</w:t>
      </w:r>
    </w:p>
    <w:p>
      <w:pPr>
        <w:pStyle w:val="Heading1"/>
      </w:pPr>
      <w:r>
        <w:t>Politische Anschlussfähigkeit und Umsetzungsoptionen</w:t>
      </w:r>
    </w:p>
    <w:tbl>
      <w:tblPr>
        <w:tblW w:type="auto" w:w="0"/>
        <w:jc w:val="center"/>
        <w:tblLook w:firstColumn="1" w:firstRow="1" w:lastColumn="0" w:lastRow="0" w:noHBand="0" w:noVBand="1" w:val="04A0"/>
      </w:tblPr>
      <w:tblGrid>
        <w:gridCol w:w="5040"/>
        <w:gridCol w:w="5040"/>
      </w:tblGrid>
      <w:tr>
        <w:tc>
          <w:tcPr>
            <w:tcW w:type="dxa" w:w="5040"/>
            <w:shd w:fill="F6F1E8"/>
            <w:tcBorders>
              <w:top w:val="single" w:sz="4" w:color="D8D1C4"/>
              <w:left w:val="single" w:sz="4" w:color="D8D1C4"/>
              <w:bottom w:val="single" w:sz="4" w:color="D8D1C4"/>
              <w:right w:val="single" w:sz="4" w:color="D8D1C4"/>
            </w:tcBorders>
          </w:tcPr>
          <w:p>
            <w:r>
              <w:rPr>
                <w:b/>
              </w:rPr>
              <w:t>Ebene</w:t>
            </w:r>
          </w:p>
        </w:tc>
        <w:tc>
          <w:tcPr>
            <w:tcW w:type="dxa" w:w="5040"/>
            <w:shd w:fill="F6F1E8"/>
            <w:tcBorders>
              <w:top w:val="single" w:sz="4" w:color="D8D1C4"/>
              <w:left w:val="single" w:sz="4" w:color="D8D1C4"/>
              <w:bottom w:val="single" w:sz="4" w:color="D8D1C4"/>
              <w:right w:val="single" w:sz="4" w:color="D8D1C4"/>
            </w:tcBorders>
          </w:tcPr>
          <w:p>
            <w:r>
              <w:rPr>
                <w:b/>
              </w:rPr>
              <w:t>Inhalt</w:t>
            </w:r>
          </w:p>
        </w:tc>
      </w:tr>
      <w:tr>
        <w:tc>
          <w:tcPr>
            <w:tcW w:type="dxa" w:w="5040"/>
            <w:tcBorders>
              <w:top w:val="single" w:sz="4" w:color="D8D1C4"/>
              <w:left w:val="single" w:sz="4" w:color="D8D1C4"/>
              <w:bottom w:val="single" w:sz="4" w:color="D8D1C4"/>
              <w:right w:val="single" w:sz="4" w:color="D8D1C4"/>
            </w:tcBorders>
            <w:vAlign w:val="top"/>
          </w:tcPr>
          <w:p>
            <w:r>
              <w:t>Aufgabe der Politik</w:t>
            </w:r>
          </w:p>
        </w:tc>
        <w:tc>
          <w:tcPr>
            <w:tcW w:type="dxa" w:w="5040"/>
            <w:tcBorders>
              <w:top w:val="single" w:sz="4" w:color="D8D1C4"/>
              <w:left w:val="single" w:sz="4" w:color="D8D1C4"/>
              <w:bottom w:val="single" w:sz="4" w:color="D8D1C4"/>
              <w:right w:val="single" w:sz="4" w:color="D8D1C4"/>
            </w:tcBorders>
            <w:vAlign w:val="top"/>
          </w:tcPr>
          <w:p>
            <w:r>
              <w:t>Finanzmärkte müssen so gerahmt werden, dass Kapital nicht nur Rendite optimiert, sondern Risiken, Resilienz und positive Netto-Wirkung für Mensch, Planet und Demokratie berücksichtigt.</w:t>
            </w:r>
          </w:p>
        </w:tc>
      </w:tr>
      <w:tr>
        <w:tc>
          <w:tcPr>
            <w:tcW w:type="dxa" w:w="5040"/>
            <w:tcBorders>
              <w:top w:val="single" w:sz="4" w:color="D8D1C4"/>
              <w:left w:val="single" w:sz="4" w:color="D8D1C4"/>
              <w:bottom w:val="single" w:sz="4" w:color="D8D1C4"/>
              <w:right w:val="single" w:sz="4" w:color="D8D1C4"/>
            </w:tcBorders>
            <w:vAlign w:val="top"/>
          </w:tcPr>
          <w:p>
            <w:r>
              <w:t>Politische Rahmenbedingungen</w:t>
            </w:r>
          </w:p>
        </w:tc>
        <w:tc>
          <w:tcPr>
            <w:tcW w:type="dxa" w:w="5040"/>
            <w:tcBorders>
              <w:top w:val="single" w:sz="4" w:color="D8D1C4"/>
              <w:left w:val="single" w:sz="4" w:color="D8D1C4"/>
              <w:bottom w:val="single" w:sz="4" w:color="D8D1C4"/>
              <w:right w:val="single" w:sz="4" w:color="D8D1C4"/>
            </w:tcBorders>
            <w:vAlign w:val="top"/>
          </w:tcPr>
          <w:p>
            <w:r>
              <w:t>Nötig sind klare Datenstandards, proportionale Berichtspflichten, Aufsicht über ESG-/Wirkungsratings, Kredit- und Versicherungslogiken, Fondsregeln, Kapitalsteuern, öffentliche Wirkungskapitalbanken und Rechtsschutz.</w:t>
            </w:r>
          </w:p>
        </w:tc>
      </w:tr>
      <w:tr>
        <w:tc>
          <w:tcPr>
            <w:tcW w:type="dxa" w:w="5040"/>
            <w:tcBorders>
              <w:top w:val="single" w:sz="4" w:color="D8D1C4"/>
              <w:left w:val="single" w:sz="4" w:color="D8D1C4"/>
              <w:bottom w:val="single" w:sz="4" w:color="D8D1C4"/>
              <w:right w:val="single" w:sz="4" w:color="D8D1C4"/>
            </w:tcBorders>
            <w:vAlign w:val="top"/>
          </w:tcPr>
          <w:p>
            <w:r>
              <w:t>Ausgestaltungsspielraum</w:t>
            </w:r>
          </w:p>
        </w:tc>
        <w:tc>
          <w:tcPr>
            <w:tcW w:type="dxa" w:w="5040"/>
            <w:tcBorders>
              <w:top w:val="single" w:sz="4" w:color="D8D1C4"/>
              <w:left w:val="single" w:sz="4" w:color="D8D1C4"/>
              <w:bottom w:val="single" w:sz="4" w:color="D8D1C4"/>
              <w:right w:val="single" w:sz="4" w:color="D8D1C4"/>
            </w:tcBorders>
            <w:vAlign w:val="top"/>
          </w:tcPr>
          <w:p>
            <w:r>
              <w:t>Parteien können unterschiedlich gewichten: freiwillige Standards oder Pflicht, Steuer- oder Aufsichtslogik, staatliche Fonds oder private Kapitalmärkte, nationale Pilotierung oder EU-Harmonisierung.</w:t>
            </w:r>
          </w:p>
        </w:tc>
      </w:tr>
      <w:tr>
        <w:tc>
          <w:tcPr>
            <w:tcW w:type="dxa" w:w="5040"/>
            <w:tcBorders>
              <w:top w:val="single" w:sz="4" w:color="D8D1C4"/>
              <w:left w:val="single" w:sz="4" w:color="D8D1C4"/>
              <w:bottom w:val="single" w:sz="4" w:color="D8D1C4"/>
              <w:right w:val="single" w:sz="4" w:color="D8D1C4"/>
            </w:tcBorders>
            <w:vAlign w:val="top"/>
          </w:tcPr>
          <w:p>
            <w:r>
              <w:t>Zielkonflikte</w:t>
            </w:r>
          </w:p>
        </w:tc>
        <w:tc>
          <w:tcPr>
            <w:tcW w:type="dxa" w:w="5040"/>
            <w:tcBorders>
              <w:top w:val="single" w:sz="4" w:color="D8D1C4"/>
              <w:left w:val="single" w:sz="4" w:color="D8D1C4"/>
              <w:bottom w:val="single" w:sz="4" w:color="D8D1C4"/>
              <w:right w:val="single" w:sz="4" w:color="D8D1C4"/>
            </w:tcBorders>
            <w:vAlign w:val="top"/>
          </w:tcPr>
          <w:p>
            <w:r>
              <w:t>Kapitalmobilität, Standortwettbewerb, Eigentumsschutz, Finanzstabilität, Innovationsfreiheit, Datenschutz, Bürokratiereduktion und soziale Gerechtigkeit müssen austariert werden.</w:t>
            </w:r>
          </w:p>
        </w:tc>
      </w:tr>
      <w:tr>
        <w:tc>
          <w:tcPr>
            <w:tcW w:type="dxa" w:w="5040"/>
            <w:tcBorders>
              <w:top w:val="single" w:sz="4" w:color="D8D1C4"/>
              <w:left w:val="single" w:sz="4" w:color="D8D1C4"/>
              <w:bottom w:val="single" w:sz="4" w:color="D8D1C4"/>
              <w:right w:val="single" w:sz="4" w:color="D8D1C4"/>
            </w:tcBorders>
            <w:vAlign w:val="top"/>
          </w:tcPr>
          <w:p>
            <w:r>
              <w:t>Rollenverteilung</w:t>
            </w:r>
          </w:p>
        </w:tc>
        <w:tc>
          <w:tcPr>
            <w:tcW w:type="dxa" w:w="5040"/>
            <w:tcBorders>
              <w:top w:val="single" w:sz="4" w:color="D8D1C4"/>
              <w:left w:val="single" w:sz="4" w:color="D8D1C4"/>
              <w:bottom w:val="single" w:sz="4" w:color="D8D1C4"/>
              <w:right w:val="single" w:sz="4" w:color="D8D1C4"/>
            </w:tcBorders>
            <w:vAlign w:val="top"/>
          </w:tcPr>
          <w:p>
            <w:r>
              <w:t>EU, Bund, BaFin/EZB/EBA/EIOPA/ESMA, Länder, Kommunen, Banken, Versicherungen, Pensionskassen, Investoren, Unternehmen, Wissenschaft und Zivilgesellschaft tragen unterschiedliche Aufgaben.</w:t>
            </w:r>
          </w:p>
        </w:tc>
      </w:tr>
      <w:tr>
        <w:tc>
          <w:tcPr>
            <w:tcW w:type="dxa" w:w="5040"/>
            <w:tcBorders>
              <w:top w:val="single" w:sz="4" w:color="D8D1C4"/>
              <w:left w:val="single" w:sz="4" w:color="D8D1C4"/>
              <w:bottom w:val="single" w:sz="4" w:color="D8D1C4"/>
              <w:right w:val="single" w:sz="4" w:color="D8D1C4"/>
            </w:tcBorders>
            <w:vAlign w:val="top"/>
          </w:tcPr>
          <w:p>
            <w:r>
              <w:t>Übergang und Schutz</w:t>
            </w:r>
          </w:p>
        </w:tc>
        <w:tc>
          <w:tcPr>
            <w:tcW w:type="dxa" w:w="5040"/>
            <w:tcBorders>
              <w:top w:val="single" w:sz="4" w:color="D8D1C4"/>
              <w:left w:val="single" w:sz="4" w:color="D8D1C4"/>
              <w:bottom w:val="single" w:sz="4" w:color="D8D1C4"/>
              <w:right w:val="single" w:sz="4" w:color="D8D1C4"/>
            </w:tcBorders>
            <w:vAlign w:val="top"/>
          </w:tcPr>
          <w:p>
            <w:r>
              <w:t>KMU, Sparkassen, Genossenschaftsbanken, Sozialunternehmen und Haushalte brauchen Übergangsfristen, einfache Datenpfade, Härtefallregeln, Anti-Greenwashing-Schutz und demokratische Korrekturwege.</w:t>
            </w:r>
          </w:p>
        </w:tc>
      </w:tr>
      <w:tr>
        <w:tc>
          <w:tcPr>
            <w:tcW w:type="dxa" w:w="5040"/>
            <w:tcBorders>
              <w:top w:val="single" w:sz="4" w:color="D8D1C4"/>
              <w:left w:val="single" w:sz="4" w:color="D8D1C4"/>
              <w:bottom w:val="single" w:sz="4" w:color="D8D1C4"/>
              <w:right w:val="single" w:sz="4" w:color="D8D1C4"/>
            </w:tcBorders>
            <w:vAlign w:val="top"/>
          </w:tcPr>
          <w:p>
            <w:r>
              <w:t>Evaluation und Korrektur</w:t>
            </w:r>
          </w:p>
        </w:tc>
        <w:tc>
          <w:tcPr>
            <w:tcW w:type="dxa" w:w="5040"/>
            <w:tcBorders>
              <w:top w:val="single" w:sz="4" w:color="D8D1C4"/>
              <w:left w:val="single" w:sz="4" w:color="D8D1C4"/>
              <w:bottom w:val="single" w:sz="4" w:color="D8D1C4"/>
              <w:right w:val="single" w:sz="4" w:color="D8D1C4"/>
            </w:tcBorders>
            <w:vAlign w:val="top"/>
          </w:tcPr>
          <w:p>
            <w:r>
              <w:t>Wirkungsberichte, Stresstests, Revisionszyklen, Wirkungsrat, öffentliche Konsultation, unabhängige Assurance und Fehlerkultur halten das System lernfähig.</w:t>
            </w:r>
          </w:p>
        </w:tc>
      </w:tr>
      <w:tr>
        <w:tc>
          <w:tcPr>
            <w:tcW w:type="dxa" w:w="5040"/>
            <w:tcBorders>
              <w:top w:val="single" w:sz="4" w:color="D8D1C4"/>
              <w:left w:val="single" w:sz="4" w:color="D8D1C4"/>
              <w:bottom w:val="single" w:sz="4" w:color="D8D1C4"/>
              <w:right w:val="single" w:sz="4" w:color="D8D1C4"/>
            </w:tcBorders>
            <w:vAlign w:val="top"/>
          </w:tcPr>
          <w:p>
            <w:r>
              <w:t>Parteipolitische Anschlussfähigkeit</w:t>
            </w:r>
          </w:p>
        </w:tc>
        <w:tc>
          <w:tcPr>
            <w:tcW w:type="dxa" w:w="5040"/>
            <w:tcBorders>
              <w:top w:val="single" w:sz="4" w:color="D8D1C4"/>
              <w:left w:val="single" w:sz="4" w:color="D8D1C4"/>
              <w:bottom w:val="single" w:sz="4" w:color="D8D1C4"/>
              <w:right w:val="single" w:sz="4" w:color="D8D1C4"/>
            </w:tcBorders>
            <w:vAlign w:val="top"/>
          </w:tcPr>
          <w:p>
            <w:r>
              <w:t>Konservative, liberale, sozialdemokratische, grüne, linke, kommunale und wirtschaftsnahe Ansätze können jeweils eigene Wege wählen, solange Wirkung sichtbar, überprüfbar und korrigierbar bleibt.</w:t>
            </w:r>
          </w:p>
        </w:tc>
      </w:tr>
      <w:tr>
        <w:tc>
          <w:tcPr>
            <w:tcW w:type="dxa" w:w="5040"/>
            <w:tcBorders>
              <w:top w:val="single" w:sz="4" w:color="D8D1C4"/>
              <w:left w:val="single" w:sz="4" w:color="D8D1C4"/>
              <w:bottom w:val="single" w:sz="4" w:color="D8D1C4"/>
              <w:right w:val="single" w:sz="4" w:color="D8D1C4"/>
            </w:tcBorders>
            <w:vAlign w:val="top"/>
          </w:tcPr>
          <w:p>
            <w:r>
              <w:t>Schutz vor Technokratie</w:t>
            </w:r>
          </w:p>
        </w:tc>
        <w:tc>
          <w:tcPr>
            <w:tcW w:type="dxa" w:w="5040"/>
            <w:tcBorders>
              <w:top w:val="single" w:sz="4" w:color="D8D1C4"/>
              <w:left w:val="single" w:sz="4" w:color="D8D1C4"/>
              <w:bottom w:val="single" w:sz="4" w:color="D8D1C4"/>
              <w:right w:val="single" w:sz="4" w:color="D8D1C4"/>
            </w:tcBorders>
            <w:vAlign w:val="top"/>
          </w:tcPr>
          <w:p>
            <w:r>
              <w:t>Wirkungsdaten bereiten Entscheidungen vor, ersetzen sie aber nicht. Normative Entscheidungen bleiben demokratisch legitimiert.</w:t>
            </w:r>
          </w:p>
        </w:tc>
      </w:tr>
    </w:tbl>
    <w:p>
      <w:pPr>
        <w:pStyle w:val="Heading1"/>
      </w:pPr>
      <w:r>
        <w:t>SDG-/SDG+-Bezug</w:t>
      </w:r>
    </w:p>
    <w:p>
      <w:r>
        <w:t>Besonders relevant sind SDG 8, 9, 10, 11, 12, 13, 16 und 17 sowie SDG+ Demokratie, Medienqualität, Rechtsstaatlichkeit, institutionelles Vertrauen, gesellschaftlicher Zusammenhalt und digitale Selbstbestimmung. Finanzsystem &amp; Kapital wirkt als Querschnitt, weil Kapital nahezu jedes SDG entweder ermöglicht oder blockiert.</w:t>
      </w:r>
    </w:p>
    <w:p>
      <w:pPr>
        <w:pStyle w:val="Heading1"/>
      </w:pPr>
      <w:r>
        <w:t>Anker im Online-Buch</w:t>
      </w:r>
    </w:p>
    <w:p>
      <w:pPr>
        <w:pStyle w:val="ListBullet"/>
      </w:pPr>
      <w:r>
        <w:t>Kapitel 3: Kapital als Werkzeug und falscher Kompass</w:t>
      </w:r>
    </w:p>
    <w:p>
      <w:pPr>
        <w:pStyle w:val="ListBullet"/>
      </w:pPr>
      <w:r>
        <w:t>Kapitel 17: Wirkungsökonomie im Vergleich</w:t>
      </w:r>
    </w:p>
    <w:p>
      <w:pPr>
        <w:pStyle w:val="ListBullet"/>
      </w:pPr>
      <w:r>
        <w:t>Kapitel 18: Wirkungsordnungen</w:t>
      </w:r>
    </w:p>
    <w:p>
      <w:pPr>
        <w:pStyle w:val="ListBullet"/>
      </w:pPr>
      <w:r>
        <w:t>Kapitel 34: T-SROI</w:t>
      </w:r>
    </w:p>
    <w:p>
      <w:pPr>
        <w:pStyle w:val="ListBullet"/>
      </w:pPr>
      <w:r>
        <w:t>Kapitel 37-40: WStG, WUStG, Wirkungshaushalt, Wirkungsrat</w:t>
      </w:r>
    </w:p>
    <w:p>
      <w:pPr>
        <w:pStyle w:val="ListBullet"/>
      </w:pPr>
      <w:r>
        <w:t>Kapitel 58: Wirkungsrente</w:t>
      </w:r>
    </w:p>
    <w:p>
      <w:pPr>
        <w:pStyle w:val="ListBullet"/>
      </w:pPr>
      <w:r>
        <w:t>Kapitel 59: Finanzsystem &amp; Kapital</w:t>
      </w:r>
    </w:p>
    <w:p>
      <w:pPr>
        <w:pStyle w:val="ListBullet"/>
      </w:pPr>
      <w:r>
        <w:t>Kapitel 98: Wirkungsfonds und Datenräume</w:t>
      </w:r>
    </w:p>
    <w:p>
      <w:pPr>
        <w:pStyle w:val="Heading1"/>
      </w:pPr>
      <w:r>
        <w:t>Quellen und Referenzrahmen</w:t>
      </w:r>
    </w:p>
    <w:p>
      <w:r>
        <w:t>Die folgenden Quellen bilden den öffentlichen und internen Referenzrahmen. Die Wirkungsökonomie nutzt sie nicht als bloße Berichtswelt, sondern als Anschluss an Daten, Risiko, Kapitalzugang, Steuerlogik und demokratische Korrektur.</w:t>
      </w:r>
    </w:p>
    <w:p>
      <w:pPr>
        <w:pStyle w:val="ListBullet"/>
      </w:pPr>
      <w:r>
        <w:t xml:space="preserve">European Banking Authority (EBA), Final Guidelines on the management of ESG risks, 2025. </w:t>
      </w:r>
      <w:hyperlink r:id="rId11">
        <w:r>
          <w:rPr>
            <w:color w:val="2E7D5C"/>
            <w:u w:val="single"/>
          </w:rPr>
          <w:t>https://www.eba.europa.eu/publications-and-media/press-releases/eba-publishes-its-final-guidelines-management-esg-risks</w:t>
        </w:r>
      </w:hyperlink>
    </w:p>
    <w:p>
      <w:pPr>
        <w:pStyle w:val="ListBullet"/>
      </w:pPr>
      <w:r>
        <w:t xml:space="preserve">European Commission, Corporate sustainability reporting / CSRD / ESRS. </w:t>
      </w:r>
      <w:hyperlink r:id="rId12">
        <w:r>
          <w:rPr>
            <w:color w:val="2E7D5C"/>
            <w:u w:val="single"/>
          </w:rPr>
          <w:t>https://finance.ec.europa.eu/financial-markets/company-reporting-and-auditing/company-reporting/corporate-sustainability-reporting_en</w:t>
        </w:r>
      </w:hyperlink>
    </w:p>
    <w:p>
      <w:pPr>
        <w:pStyle w:val="ListBullet"/>
      </w:pPr>
      <w:r>
        <w:t xml:space="preserve">European Commission, EU taxonomy for sustainable activities. </w:t>
      </w:r>
      <w:hyperlink r:id="rId13">
        <w:r>
          <w:rPr>
            <w:color w:val="2E7D5C"/>
            <w:u w:val="single"/>
          </w:rPr>
          <w:t>https://finance.ec.europa.eu/sustainable-finance/tools-and-standards/eu-taxonomy-sustainable-activities_en</w:t>
        </w:r>
      </w:hyperlink>
    </w:p>
    <w:p>
      <w:pPr>
        <w:pStyle w:val="ListBullet"/>
      </w:pPr>
      <w:r>
        <w:t xml:space="preserve">European Commission, Sustainable Finance Disclosure Regulation (SFDR) and revision. </w:t>
      </w:r>
      <w:hyperlink r:id="rId14">
        <w:r>
          <w:rPr>
            <w:color w:val="2E7D5C"/>
            <w:u w:val="single"/>
          </w:rPr>
          <w:t>https://finance.ec.europa.eu/sustainable-finance/disclosures/sustainability-related-disclosure-financial-services-sector_en</w:t>
        </w:r>
      </w:hyperlink>
    </w:p>
    <w:p>
      <w:pPr>
        <w:pStyle w:val="ListBullet"/>
      </w:pPr>
      <w:r>
        <w:t xml:space="preserve">ESMA, ESG Rating Providers and ESG Rating Regulation. </w:t>
      </w:r>
      <w:hyperlink r:id="rId15">
        <w:r>
          <w:rPr>
            <w:color w:val="2E7D5C"/>
            <w:u w:val="single"/>
          </w:rPr>
          <w:t>https://www.esma.europa.eu/esmas-activities/investors-and-issuers/esg-rating-providers</w:t>
        </w:r>
      </w:hyperlink>
    </w:p>
    <w:p>
      <w:pPr>
        <w:pStyle w:val="ListBullet"/>
      </w:pPr>
      <w:r>
        <w:t xml:space="preserve">EIOPA, Sustainable finance and climate insurance protection gaps. </w:t>
      </w:r>
      <w:hyperlink r:id="rId16">
        <w:r>
          <w:rPr>
            <w:color w:val="2E7D5C"/>
            <w:u w:val="single"/>
          </w:rPr>
          <w:t>https://www.eiopa.europa.eu/publications/sustainable-finance-past-current-and-future-supervisory-priority-eiopa_en</w:t>
        </w:r>
      </w:hyperlink>
    </w:p>
    <w:p>
      <w:pPr>
        <w:pStyle w:val="ListBullet"/>
      </w:pPr>
      <w:r>
        <w:t xml:space="preserve">EIOPA, Insurance protection gaps in a changing climate, 2026. </w:t>
      </w:r>
      <w:hyperlink r:id="rId17">
        <w:r>
          <w:rPr>
            <w:color w:val="2E7D5C"/>
            <w:u w:val="single"/>
          </w:rPr>
          <w:t>https://www.eiopa.europa.eu/insurance-protection-gaps-changing-climate-2026-04-16_en</w:t>
        </w:r>
      </w:hyperlink>
    </w:p>
    <w:p>
      <w:pPr>
        <w:pStyle w:val="ListBullet"/>
      </w:pPr>
      <w:r>
        <w:t xml:space="preserve">NGFS, climate-related and environmental financial risks. </w:t>
      </w:r>
      <w:hyperlink r:id="rId18">
        <w:r>
          <w:rPr>
            <w:color w:val="2E7D5C"/>
            <w:u w:val="single"/>
          </w:rPr>
          <w:t>https://www.ngfs.net</w:t>
        </w:r>
      </w:hyperlink>
    </w:p>
    <w:p>
      <w:pPr>
        <w:pStyle w:val="ListBullet"/>
      </w:pPr>
      <w:r>
        <w:t xml:space="preserve">Natalie Weber, Die neue Ordnung des Wohlstands, 2026, Kapitel 3, 59, 98. </w:t>
      </w:r>
      <w:r>
        <w:t>Interne WÖk-Quelle</w:t>
      </w:r>
    </w:p>
    <w:p>
      <w:pPr>
        <w:pStyle w:val="ListBullet"/>
      </w:pPr>
      <w:r>
        <w:t xml:space="preserve">Natalie Weber, Systemmodell der Wirkungsökonomie, Spalte Finanzsystem &amp; Kapital. </w:t>
      </w:r>
      <w:r>
        <w:t>Interne WÖk-Quelle</w:t>
      </w:r>
    </w:p>
    <w:p>
      <w:pPr>
        <w:pStyle w:val="ListBullet"/>
      </w:pPr>
      <w:r>
        <w:t xml:space="preserve">Natalie Weber, Whitepaper T-SROI, 2025. </w:t>
      </w:r>
      <w:r>
        <w:t>Interne WÖk-Quelle</w:t>
      </w:r>
    </w:p>
    <w:p>
      <w:pPr>
        <w:pStyle w:val="ListBullet"/>
      </w:pPr>
      <w:r>
        <w:t xml:space="preserve">Natalie Weber, WStG Oktober 2025 und WUStG-Leitlinien. </w:t>
      </w:r>
      <w:r>
        <w:t>Interne WÖk-Quelle</w:t>
      </w:r>
    </w:p>
    <w:p>
      <w:pPr>
        <w:pStyle w:val="ListBullet"/>
      </w:pPr>
      <w:r>
        <w:t xml:space="preserve">Natalie Weber, Wenn Maschinen arbeiten, 2025. </w:t>
      </w:r>
      <w:r>
        <w:t>Interne WÖk-Quelle</w:t>
      </w:r>
    </w:p>
    <w:sectPr w:rsidR="00FC693F" w:rsidRPr="0006063C" w:rsidSect="00034616">
      <w:headerReference w:type="default" r:id="rId9"/>
      <w:footerReference w:type="default" r:id="rId10"/>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E6E6E"/>
        <w:sz w:val="16"/>
      </w:rPr>
      <w:t>Wirkung statt Kapital · Für Mensch, Planet und Demokratie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color w:val="2E7D5C"/>
        <w:sz w:val="16"/>
      </w:rPr>
      <w:t>WIRKUNGSÖKONOMIE · Natalie Weber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eastAsia="Georgia"/>
      <w:b/>
      <w:bCs/>
      <w:color w:val="0B1026"/>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eastAsia="Georgia"/>
      <w:b/>
      <w:bCs/>
      <w:color w:val="0B1026"/>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eastAsia="Georgia"/>
      <w:b/>
      <w:bCs/>
      <w:color w:val="0B1026"/>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www.eba.europa.eu/publications-and-media/press-releases/eba-publishes-its-final-guidelines-management-esg-risks" TargetMode="External"/><Relationship Id="rId12" Type="http://schemas.openxmlformats.org/officeDocument/2006/relationships/hyperlink" Target="https://finance.ec.europa.eu/financial-markets/company-reporting-and-auditing/company-reporting/corporate-sustainability-reporting_en" TargetMode="External"/><Relationship Id="rId13" Type="http://schemas.openxmlformats.org/officeDocument/2006/relationships/hyperlink" Target="https://finance.ec.europa.eu/sustainable-finance/tools-and-standards/eu-taxonomy-sustainable-activities_en" TargetMode="External"/><Relationship Id="rId14" Type="http://schemas.openxmlformats.org/officeDocument/2006/relationships/hyperlink" Target="https://finance.ec.europa.eu/sustainable-finance/disclosures/sustainability-related-disclosure-financial-services-sector_en" TargetMode="External"/><Relationship Id="rId15" Type="http://schemas.openxmlformats.org/officeDocument/2006/relationships/hyperlink" Target="https://www.esma.europa.eu/esmas-activities/investors-and-issuers/esg-rating-providers" TargetMode="External"/><Relationship Id="rId16" Type="http://schemas.openxmlformats.org/officeDocument/2006/relationships/hyperlink" Target="https://www.eiopa.europa.eu/publications/sustainable-finance-past-current-and-future-supervisory-priority-eiopa_en" TargetMode="External"/><Relationship Id="rId17" Type="http://schemas.openxmlformats.org/officeDocument/2006/relationships/hyperlink" Target="https://www.eiopa.europa.eu/insurance-protection-gaps-changing-climate-2026-04-16_en" TargetMode="External"/><Relationship Id="rId18" Type="http://schemas.openxmlformats.org/officeDocument/2006/relationships/hyperlink" Target="https://www.ngf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