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08102A"/>
          <w:sz w:val="44"/>
        </w:rPr>
        <w:t>WIRKUNGSÖKONOMIE</w:t>
      </w:r>
    </w:p>
    <w:p>
      <w:r>
        <w:rPr>
          <w:rFonts w:ascii="Arial" w:hAnsi="Arial"/>
          <w:b/>
          <w:color w:val="C8983C"/>
          <w:sz w:val="18"/>
        </w:rPr>
        <w:t>FÜR MENSCH, PLANET UND DEMOKRATIE</w:t>
      </w:r>
    </w:p>
    <w:p>
      <w:pPr>
        <w:spacing w:before="120" w:after="200"/>
        <w:pBdr>
          <w:bottom w:val="single" w:sz="6" w:space="1" w:color="C8983C"/>
        </w:pBdr>
      </w:pPr>
    </w:p>
    <w:p>
      <w:pPr>
        <w:spacing w:before="400" w:after="120"/>
      </w:pPr>
      <w:r>
        <w:rPr>
          <w:rFonts w:ascii="Georgia" w:hAnsi="Georgia"/>
          <w:b/>
          <w:color w:val="08102A"/>
          <w:sz w:val="56"/>
        </w:rPr>
        <w:t>Gesundheit &amp; Pflege</w:t>
      </w:r>
    </w:p>
    <w:p>
      <w:r>
        <w:rPr>
          <w:rFonts w:ascii="Arial" w:hAnsi="Arial"/>
          <w:b/>
          <w:color w:val="2E7D5C"/>
          <w:sz w:val="26"/>
        </w:rPr>
        <w:t>Gesamtdossier mit Beispielen, Datenquellen, Berechnungslogik und Umsetzungspfaden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Dokumenttyp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Gesamtdossier</w:t>
            </w:r>
          </w:p>
        </w:tc>
      </w:tr>
      <w:tr>
        <w:tc>
          <w:tcPr>
            <w:tcW w:type="dxa" w:w="504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Autorin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Natalie Weber</w:t>
            </w:r>
          </w:p>
        </w:tc>
      </w:tr>
      <w:tr>
        <w:tc>
          <w:tcPr>
            <w:tcW w:type="dxa" w:w="504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Referenz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Wirkungsökonomie</w:t>
            </w:r>
          </w:p>
        </w:tc>
      </w:tr>
      <w:tr>
        <w:tc>
          <w:tcPr>
            <w:tcW w:type="dxa" w:w="504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Version / Stand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v0.1 · 24. Mai 2026</w:t>
            </w:r>
          </w:p>
        </w:tc>
      </w:tr>
      <w:tr>
        <w:tc>
          <w:tcPr>
            <w:tcW w:type="dxa" w:w="5040"/>
            <w:vAlign w:val="top"/>
            <w:shd w:fill="F6F1E8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Status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Arbeitsfassung / Diskussionsfassung</w:t>
            </w:r>
          </w:p>
        </w:tc>
      </w:tr>
    </w:tbl>
    <w:p/>
    <w:p>
      <w:pPr>
        <w:ind w:left="216" w:right="216"/>
      </w:pPr>
      <w:r>
        <w:rPr>
          <w:rFonts w:ascii="Georgia" w:hAnsi="Georgia"/>
          <w:b/>
          <w:color w:val="08102A"/>
          <w:sz w:val="26"/>
        </w:rPr>
        <w:t>Leitsatz: Gesundheit ist kein medizinisches Ereignis, sondern ein gesellschaftlicher Zustand. Sie entsteht durch Prävention, Resilienz, Stabilität, Teilhabe, Pflege und gutes Leben.</w:t>
      </w:r>
    </w:p>
    <w:p>
      <w:r>
        <w:br w:type="page"/>
      </w:r>
    </w:p>
    <w:p>
      <w:pPr>
        <w:pStyle w:val="Heading1"/>
      </w:pPr>
      <w:r>
        <w:t>Inhaltsverzeichnis</w:t>
      </w:r>
    </w:p>
    <w:p>
      <w:pPr/>
      <w:r>
        <w:t>1. Zweck des Dossiers</w:t>
      </w:r>
    </w:p>
    <w:p>
      <w:pPr/>
      <w:r>
        <w:t>2. Datenquellen</w:t>
      </w:r>
    </w:p>
    <w:p>
      <w:pPr/>
      <w:r>
        <w:t>3. Beispielrechnungen</w:t>
      </w:r>
    </w:p>
    <w:p>
      <w:pPr/>
      <w:r>
        <w:t>4. Tool-Logik</w:t>
      </w:r>
    </w:p>
    <w:p>
      <w:pPr/>
      <w:r>
        <w:t>5. Akteursperspektiven</w:t>
      </w:r>
    </w:p>
    <w:p>
      <w:pPr/>
      <w:r>
        <w:t>6. Politische Umsetzung</w:t>
      </w:r>
    </w:p>
    <w:p>
      <w:pPr/>
      <w:r>
        <w:t>7. Quellen</w:t>
      </w:r>
    </w:p>
    <w:p>
      <w:pPr>
        <w:spacing w:before="120" w:after="200"/>
        <w:pBdr>
          <w:bottom w:val="single" w:sz="6" w:space="1" w:color="C8983C"/>
        </w:pBdr>
      </w:pPr>
    </w:p>
    <w:p>
      <w:pPr>
        <w:pStyle w:val="Heading1"/>
      </w:pPr>
      <w:r>
        <w:t>1. Zweck des Dossiers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Dieses Dossier übersetzt das Konzept Gesundheit &amp; Pflege in Beispiele, Datenquellen, Berechnungslogiken und Umsetzungsoptionen. Es richtet sich an Politik, Verwaltung, Kommunen, Krankenkassen, Pflegeakteure, Unternehmen, Stiftungen, Wissenschaft und Öffentlichkeit.</w:t>
      </w:r>
    </w:p>
    <w:p>
      <w:pPr>
        <w:pStyle w:val="Heading1"/>
      </w:pPr>
      <w:r>
        <w:t>2. Datenquellen und Vertrauensstufen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Datenquelle</w:t>
            </w:r>
          </w:p>
        </w:tc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Verwendung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Destatis Gesundheitsausgaben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Makroausgaben, Kostenentwicklung, Trägerstruktur, Gesundheitsausgaben je Einwohner:in.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Destatis Pflegestatistik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Pflegebedürftige, Pflegeformen, stationär/ambulant, Pflegeeinrichtungen.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OECD Health at a Glance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Internationaler Vergleich zu Ausgaben, Prävention, Versorgung, Risikofaktoren.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WHO Social Determinants / One Health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Konzeptionelle Grundlage für nicht-medizinische Gesundheitsdeterminanten und planetare Gesundheit.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RKI / GBE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Indikatoren zu Gesundheit, Krankheit, Prävention, psychischer Gesundheit und Bevölkerungsgesundheit.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Kassen- und Versorgungsdaten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Versorgungspfade, Präventionsprogramme, Krankheitstage, chronische Erkrankungen, Medikations- und Behandlungsdaten – nur aggregiert/datenschutzkonform.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Kommunale Daten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Hitze, Lärm, Grünflächen, Mobilität, Begegnungsräume, Pflegezugang, Sozialstruktur.</w:t>
            </w:r>
          </w:p>
        </w:tc>
      </w:tr>
    </w:tbl>
    <w:p/>
    <w:p>
      <w:pPr>
        <w:pStyle w:val="Heading1"/>
      </w:pPr>
      <w:r>
        <w:t>3. Beispielrechnungen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6F1E8"/>
          </w:tcPr>
          <w:p>
            <w:r>
              <w:rPr>
                <w:rFonts w:ascii="Arial" w:hAnsi="Arial"/>
                <w:b/>
                <w:color w:val="2E7D5C"/>
                <w:sz w:val="18"/>
              </w:rPr>
              <w:t>Hinweis</w:t>
            </w:r>
          </w:p>
          <w:p>
            <w:r>
              <w:rPr>
                <w:sz w:val="18"/>
              </w:rPr>
              <w:t>Alle Berechnungen sind modellhafte Demonstrationen. Sie ersetzen keine medizinische, gesundheitsökonomische, rechtliche oder haushaltspolitische Prüfung.</w:t>
            </w:r>
          </w:p>
        </w:tc>
      </w:tr>
    </w:tbl>
    <w:p/>
    <w:p>
      <w:pPr>
        <w:pStyle w:val="Heading2"/>
      </w:pPr>
      <w:r>
        <w:t>Hitzeschutz im Quartier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Investition in Schatten, Wasserpunkte, Grün und Nachbarschaftskommunikation. Vermiedene Wirkung: weniger Notfälle, geringere Belastung vulnerabler Gruppen, weniger Pflege- und Krankenhauslast. Formel: erwartete Risikoreduktion × Basisfälle × Fallkosten + Lebensqualitätsnutzen + Resilienzwert.</w:t>
      </w:r>
    </w:p>
    <w:p>
      <w:pPr>
        <w:pStyle w:val="ListBullet"/>
      </w:pPr>
      <w:r>
        <w:rPr>
          <w:rFonts w:ascii="Arial" w:hAnsi="Arial"/>
          <w:sz w:val="20"/>
        </w:rPr>
        <w:t>Datenbedarf: Basisrate, Zielgruppe, erwartete Risikoreduktion, Kosten je Ereignis, Zeithorizont, Unsicherheitsband.</w:t>
      </w:r>
    </w:p>
    <w:p>
      <w:pPr>
        <w:pStyle w:val="ListBullet"/>
      </w:pPr>
      <w:r>
        <w:rPr>
          <w:rFonts w:ascii="Arial" w:hAnsi="Arial"/>
          <w:sz w:val="20"/>
        </w:rPr>
        <w:t>Output: Gesundheitswirkungswert, vermiedene Kosten, Resilienzbeitrag, SDG-/SDG+-Bezug, Datenschutzstatus.</w:t>
      </w:r>
    </w:p>
    <w:p>
      <w:pPr>
        <w:pStyle w:val="Heading2"/>
      </w:pPr>
      <w:r>
        <w:t>Betriebliche psychische Sicherheit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Investition in Führung, Arbeitszeitgesundheit, Konfliktprävention und Zugang zu Beratung. Vermiedene Wirkung: weniger Burnout, weniger Krankheitstage, geringere Fluktuation, höhere Teamstabilität. Formel: reduzierte Ausfalltage × Kosten pro Ausfalltag + reduzierte Fluktuationskosten + Stabilitätsnutzen.</w:t>
      </w:r>
    </w:p>
    <w:p>
      <w:pPr>
        <w:pStyle w:val="ListBullet"/>
      </w:pPr>
      <w:r>
        <w:rPr>
          <w:rFonts w:ascii="Arial" w:hAnsi="Arial"/>
          <w:sz w:val="20"/>
        </w:rPr>
        <w:t>Datenbedarf: Basisrate, Zielgruppe, erwartete Risikoreduktion, Kosten je Ereignis, Zeithorizont, Unsicherheitsband.</w:t>
      </w:r>
    </w:p>
    <w:p>
      <w:pPr>
        <w:pStyle w:val="ListBullet"/>
      </w:pPr>
      <w:r>
        <w:rPr>
          <w:rFonts w:ascii="Arial" w:hAnsi="Arial"/>
          <w:sz w:val="20"/>
        </w:rPr>
        <w:t>Output: Gesundheitswirkungswert, vermiedene Kosten, Resilienzbeitrag, SDG-/SDG+-Bezug, Datenschutzstatus.</w:t>
      </w:r>
    </w:p>
    <w:p>
      <w:pPr>
        <w:pStyle w:val="Heading2"/>
      </w:pPr>
      <w:r>
        <w:t>Pflegequartier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Kombination aus Tagespflege, ambulanter Versorgung, Angehörigenentlastung, Sturzprävention und digitalem Monitoring. Vermiedene Wirkung: Krankenhausaufenthalte, Heimübergänge, Angehörigenüberlastung, Einsamkeit.</w:t>
      </w:r>
    </w:p>
    <w:p>
      <w:pPr>
        <w:pStyle w:val="ListBullet"/>
      </w:pPr>
      <w:r>
        <w:rPr>
          <w:rFonts w:ascii="Arial" w:hAnsi="Arial"/>
          <w:sz w:val="20"/>
        </w:rPr>
        <w:t>Datenbedarf: Basisrate, Zielgruppe, erwartete Risikoreduktion, Kosten je Ereignis, Zeithorizont, Unsicherheitsband.</w:t>
      </w:r>
    </w:p>
    <w:p>
      <w:pPr>
        <w:pStyle w:val="ListBullet"/>
      </w:pPr>
      <w:r>
        <w:rPr>
          <w:rFonts w:ascii="Arial" w:hAnsi="Arial"/>
          <w:sz w:val="20"/>
        </w:rPr>
        <w:t>Output: Gesundheitswirkungswert, vermiedene Kosten, Resilienzbeitrag, SDG-/SDG+-Bezug, Datenschutzstatus.</w:t>
      </w:r>
    </w:p>
    <w:p>
      <w:pPr>
        <w:pStyle w:val="Heading2"/>
      </w:pPr>
      <w:r>
        <w:t>Schulgesundheit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Bewegung, Ernährung, psychische Stabilität, Schulsozialarbeit und digitale Mobbingprävention. Vermiedene Wirkung: spätere Gesundheitsrisiken, Fehlzeiten, psychische Krisen, Bildungsabbrüche.</w:t>
      </w:r>
    </w:p>
    <w:p>
      <w:pPr>
        <w:pStyle w:val="ListBullet"/>
      </w:pPr>
      <w:r>
        <w:rPr>
          <w:rFonts w:ascii="Arial" w:hAnsi="Arial"/>
          <w:sz w:val="20"/>
        </w:rPr>
        <w:t>Datenbedarf: Basisrate, Zielgruppe, erwartete Risikoreduktion, Kosten je Ereignis, Zeithorizont, Unsicherheitsband.</w:t>
      </w:r>
    </w:p>
    <w:p>
      <w:pPr>
        <w:pStyle w:val="ListBullet"/>
      </w:pPr>
      <w:r>
        <w:rPr>
          <w:rFonts w:ascii="Arial" w:hAnsi="Arial"/>
          <w:sz w:val="20"/>
        </w:rPr>
        <w:t>Output: Gesundheitswirkungswert, vermiedene Kosten, Resilienzbeitrag, SDG-/SDG+-Bezug, Datenschutzstatus.</w:t>
      </w:r>
    </w:p>
    <w:p>
      <w:pPr>
        <w:pStyle w:val="Heading1"/>
      </w:pPr>
      <w:r>
        <w:t>4. Tool-Logik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Die Tool-Suite arbeitet mit modularen Checks. Jedes Modul trennt Eingaben, Annahmen, Datenqualität, Wirkungsbereiche, Unsicherheiten und Ergebnisdarstellung. Es gibt keine Personenscores. Ergebnisse gelten für Programme, Räume, Maßnahmen oder Institutionen.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Tool</w:t>
            </w:r>
          </w:p>
        </w:tc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Funktion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Gesundheitswirkungscheck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Bewertet Maßnahmen nach Prävention, Zugang, Teilhabe, Lebensqualität, Resilienz und Nebenwirkungen.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Präventionswirkungsrechner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Schätzt vermiedene Schäden und Kosten durch Präventionsmaßnahmen.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Pflegewirkungscheck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Bewertet Stabilisierung, Würde, Entlastung, Selbstständigkeit, Fachkräftegesundheit.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Kommunaler Gesundheitsraum-Check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Prüft Quartiere nach Hitze, Grün, Bewegung, Versorgung, Begegnung, Sicherheit und Barrierefreiheit.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Mental-Health-Reflexionsmodul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Nicht-diagnostisches Modul für Belastungsräume, Wartezeiten, niedrigschwellige Hilfe und Schutzfaktoren.</w:t>
            </w:r>
          </w:p>
        </w:tc>
      </w:tr>
    </w:tbl>
    <w:p/>
    <w:p>
      <w:pPr>
        <w:pStyle w:val="Heading1"/>
      </w:pPr>
      <w:r>
        <w:t>5. Akteursperspektiven</w:t>
      </w:r>
    </w:p>
    <w:p>
      <w:pPr>
        <w:pStyle w:val="ListBullet"/>
      </w:pPr>
      <w:r>
        <w:rPr>
          <w:rFonts w:ascii="Arial" w:hAnsi="Arial"/>
          <w:sz w:val="20"/>
        </w:rPr>
        <w:t>Bürger:innen: Zugang, Würde, Prävention, Datenschutz, keine Schuldlogik.</w:t>
      </w:r>
    </w:p>
    <w:p>
      <w:pPr>
        <w:pStyle w:val="ListBullet"/>
      </w:pPr>
      <w:r>
        <w:rPr>
          <w:rFonts w:ascii="Arial" w:hAnsi="Arial"/>
          <w:sz w:val="20"/>
        </w:rPr>
        <w:t>Kommunen: Gesundheitsräume, Pflegequartiere, Hitzeschutz, Begegnung, Präventionshaushalt.</w:t>
      </w:r>
    </w:p>
    <w:p>
      <w:pPr>
        <w:pStyle w:val="ListBullet"/>
      </w:pPr>
      <w:r>
        <w:rPr>
          <w:rFonts w:ascii="Arial" w:hAnsi="Arial"/>
          <w:sz w:val="20"/>
        </w:rPr>
        <w:t>Krankenkassen und Pflegekassen: von Kostenverwaltung zu Gesundheitswirkung.</w:t>
      </w:r>
    </w:p>
    <w:p>
      <w:pPr>
        <w:pStyle w:val="ListBullet"/>
      </w:pPr>
      <w:r>
        <w:rPr>
          <w:rFonts w:ascii="Arial" w:hAnsi="Arial"/>
          <w:sz w:val="20"/>
        </w:rPr>
        <w:t>Unternehmen: Arbeitsgesundheit, psychische Sicherheit, Produkte und Lieferketten.</w:t>
      </w:r>
    </w:p>
    <w:p>
      <w:pPr>
        <w:pStyle w:val="ListBullet"/>
      </w:pPr>
      <w:r>
        <w:rPr>
          <w:rFonts w:ascii="Arial" w:hAnsi="Arial"/>
          <w:sz w:val="20"/>
        </w:rPr>
        <w:t>Politik: Rahmen, Finanzierung, Pilotierung, Rechtsschutz, Wirkungsberichte.</w:t>
      </w:r>
    </w:p>
    <w:p>
      <w:pPr>
        <w:pStyle w:val="ListBullet"/>
      </w:pPr>
      <w:r>
        <w:rPr>
          <w:rFonts w:ascii="Arial" w:hAnsi="Arial"/>
          <w:sz w:val="20"/>
        </w:rPr>
        <w:t>Wissenschaft: Evaluation, Datenqualität, Methoden, Missbrauchsschutz.</w:t>
      </w:r>
    </w:p>
    <w:p>
      <w:pPr>
        <w:pStyle w:val="Heading1"/>
      </w:pPr>
      <w:r>
        <w:t>6. Politische Anschlussfähigkeit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Ebene</w:t>
            </w:r>
          </w:p>
        </w:tc>
        <w:tc>
          <w:tcPr>
            <w:tcW w:type="dxa" w:w="5040"/>
            <w:vAlign w:val="top"/>
            <w:shd w:fill="F6F1E8"/>
          </w:tcPr>
          <w:p>
            <w:r>
              <w:rPr>
                <w:b/>
                <w:color w:val="08102A"/>
              </w:rPr>
            </w:r>
            <w:r>
              <w:rPr>
                <w:rFonts w:ascii="Arial" w:hAnsi="Arial"/>
                <w:b/>
                <w:color w:val="08102A"/>
                <w:sz w:val="19"/>
              </w:rPr>
              <w:t>Aufgabe für Politik und Umsetzung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Aufgabe der Politik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Den Rahmen schaffen, damit Gesundheit nicht nur als Behandlungskostenblock erscheint, sondern als präventive, soziale, ökologische und demokratische Systemleistung sichtbar wird.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Politische Rahmenbedingungen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Gesundheitswirkungshaushalte, Präventionsbudgets, Pflegewirkung, kommunale Gesundheitsräume, Datenstandards, Datenschutz, Versorgungssicherheit und unabhängige Evaluation.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Ausgestaltungsspielraum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Parteien können unterschiedliche Wege wählen: stärkere kommunale Steuerung, mehr Kassenautonomie, Präventionsboni, öffentliche Fonds, Versicherungsmodelle, Modellregionen oder gesetzliche Mindeststandards.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Zielkonflikte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Freiheit und Schutz, Prävention und Bevormundungsrisiko, Datenschutz und Frühwarnsysteme, Kostendruck und Qualität, Zentralisierung und Nahversorgung, Innovation und Solidarität müssen demokratisch ausbalanciert werden.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Rollenverteilung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EU, Bund, Länder, Kommunen, Krankenkassen, Pflegekassen, Leistungserbringer, Unternehmen, Wissenschaft, Zivilgesellschaft und Bürger:innen tragen unterschiedliche Aufgaben.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Übergang und Schutz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Pilotregionen, Härtefallregeln, Datenschutz, keine Personen-Scores, keine Sanktionierung von Krankheit, Schutz vulnerabler Gruppen, Fachkräfteschutz und digitale Barrierefreiheit.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Evaluation und Korrektur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Wirkungsberichte, Gesundheitswirkungsindex, Präventionswirkungsrechner, Pflegestabilitätsindikatoren, öffentliche Konsultation und Revisionszyklen.</w:t>
            </w:r>
          </w:p>
        </w:tc>
      </w:tr>
      <w:tr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/>
                <w:color w:val="08102A"/>
                <w:sz w:val="19"/>
              </w:rPr>
              <w:t>Parteipolitische Anschlussfähigkeit</w:t>
            </w:r>
          </w:p>
        </w:tc>
        <w:tc>
          <w:tcPr>
            <w:tcW w:type="dxa" w:w="5040"/>
            <w:vAlign w:val="top"/>
          </w:tcPr>
          <w:p>
            <w:r/>
            <w:r>
              <w:rPr>
                <w:rFonts w:ascii="Arial" w:hAnsi="Arial"/>
                <w:b w:val="0"/>
                <w:color w:val="23242C"/>
                <w:sz w:val="19"/>
              </w:rPr>
              <w:t>Liberale, konservative, sozialdemokratische, grüne, linke, kommunale und wirtschaftsnahe Perspektiven können unterschiedliche Ausgestaltungen wählen, solange Wirkung sichtbar und korrigierbar bleibt.</w:t>
            </w:r>
          </w:p>
        </w:tc>
      </w:tr>
    </w:tbl>
    <w:p/>
    <w:p>
      <w:pPr>
        <w:pStyle w:val="Heading1"/>
      </w:pPr>
      <w:r>
        <w:t>Quellen und Anschlussdokumente</w:t>
      </w:r>
    </w:p>
    <w:p>
      <w:pPr>
        <w:spacing w:after="100"/>
      </w:pPr>
      <w:r>
        <w:rPr>
          <w:rFonts w:ascii="Arial" w:hAnsi="Arial"/>
          <w:color w:val="23242C"/>
          <w:sz w:val="20"/>
        </w:rPr>
        <w:t>Diese Arbeitsfassung ist ein öffentliches Fach- und Konzeptdokument der Wirkungsökonomie. Sie ersetzt keine medizinische, rechtliche oder steuerliche Beratung. Für Diagnosen, Behandlung und individuelle Gesundheitsentscheidungen sind qualifizierte Fachstellen zuständig.</w:t>
      </w:r>
    </w:p>
    <w:p>
      <w:pPr>
        <w:pStyle w:val="ListBullet"/>
      </w:pPr>
      <w:r>
        <w:rPr>
          <w:rFonts w:ascii="Arial" w:hAnsi="Arial"/>
          <w:sz w:val="20"/>
        </w:rPr>
        <w:t>Weber, Natalie: Die neue Ordnung des Wohlstands. Arbeitsfassung 2026. Kapitel 68 Gesundheit, Kapitel 69 Pflege, Kapitel zu Wirkungshaushalt, Resilienzstaat und Wirkungsfonds.</w:t>
      </w:r>
    </w:p>
    <w:p>
      <w:pPr>
        <w:pStyle w:val="ListBullet"/>
      </w:pPr>
      <w:r>
        <w:rPr>
          <w:rFonts w:ascii="Arial" w:hAnsi="Arial"/>
          <w:sz w:val="20"/>
        </w:rPr>
        <w:t>Weber, Natalie: Systemmodell der Wirkungsökonomie, 2025. Spalte 7 Gesundheit, Pflege &amp; Leben.</w:t>
      </w:r>
    </w:p>
    <w:p>
      <w:pPr>
        <w:pStyle w:val="ListBullet"/>
      </w:pPr>
      <w:r>
        <w:rPr>
          <w:rFonts w:ascii="Arial" w:hAnsi="Arial"/>
          <w:sz w:val="20"/>
        </w:rPr>
        <w:t>Weber, Natalie: Führender Begriffsleitfaden der Wirkungsökonomie, Version 1.0, 2026.</w:t>
      </w:r>
    </w:p>
    <w:p>
      <w:pPr>
        <w:pStyle w:val="ListBullet"/>
      </w:pPr>
      <w:r>
        <w:rPr>
          <w:rFonts w:ascii="Arial" w:hAnsi="Arial"/>
          <w:sz w:val="20"/>
        </w:rPr>
        <w:t>World Health Organization (WHO): Constitution of the World Health Organization; Social determinants of health; One Health.</w:t>
      </w:r>
    </w:p>
    <w:p>
      <w:pPr>
        <w:pStyle w:val="ListBullet"/>
      </w:pPr>
      <w:r>
        <w:rPr>
          <w:rFonts w:ascii="Arial" w:hAnsi="Arial"/>
          <w:sz w:val="20"/>
        </w:rPr>
        <w:t>OECD: Health at a Glance 2025: Germany und Health expenditure on prevention and primary healthcare.</w:t>
      </w:r>
    </w:p>
    <w:p>
      <w:pPr>
        <w:pStyle w:val="ListBullet"/>
      </w:pPr>
      <w:r>
        <w:rPr>
          <w:rFonts w:ascii="Arial" w:hAnsi="Arial"/>
          <w:sz w:val="20"/>
        </w:rPr>
        <w:t>Destatis: Gesundheitsausgaben 2024; Pflegebedürftige in Deutschland 2023; Gesundheits- und Pflegestatistiken.</w:t>
      </w:r>
    </w:p>
    <w:p>
      <w:pPr>
        <w:pStyle w:val="ListBullet"/>
      </w:pPr>
      <w:r>
        <w:rPr>
          <w:rFonts w:ascii="Arial" w:hAnsi="Arial"/>
          <w:sz w:val="20"/>
        </w:rPr>
        <w:t>Bundesministerium für Gesundheit: Informationen zu Gesundheit, Prävention, Pflege und Krankenhausstrukturreform.</w:t>
      </w:r>
    </w:p>
    <w:p>
      <w:pPr>
        <w:pStyle w:val="ListBullet"/>
      </w:pPr>
      <w:r>
        <w:rPr>
          <w:rFonts w:ascii="Arial" w:hAnsi="Arial"/>
          <w:sz w:val="20"/>
        </w:rPr>
        <w:t>Robert Koch-Institut / Gesundheitsberichterstattung des Bundes: Gesundheitsindikatoren, Prävention, psychische Gesundheit, soziale Determinanten.</w:t>
      </w:r>
    </w:p>
    <w:p>
      <w:pPr>
        <w:pStyle w:val="ListBullet"/>
      </w:pPr>
      <w:r>
        <w:rPr>
          <w:rFonts w:ascii="Arial" w:hAnsi="Arial"/>
          <w:sz w:val="20"/>
        </w:rPr>
        <w:t>EU / Europäische Kommission: Europäische Gesundheitsdatenräume, EU4Health, Klima- und Gesundheitsbezüge, einschlägige Gesundheits- und Digitalrechtsakte.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5"/>
      </w:rPr>
      <w:t>Gesamtdossier · Natalie Weber · Wirkungsökonomie · v0.1 · 24. Mai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2E7D5C"/>
        <w:sz w:val="16"/>
      </w:rPr>
      <w:t>Wirkungsökonomie  ·  Für Mensch, Planet und Demokratie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3242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Georgia" w:hAnsi="Georgia"/>
      <w:b/>
      <w:bCs/>
      <w:color w:val="08102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Georgia" w:hAnsi="Georgia"/>
      <w:b/>
      <w:bCs/>
      <w:color w:val="08102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Georgia" w:hAnsi="Georgia"/>
      <w:b/>
      <w:bCs/>
      <w:color w:val="08102A"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