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8102A"/>
          <w:sz w:val="44"/>
        </w:rPr>
        <w:t>WIRKUNGSÖKONOMIE</w:t>
      </w:r>
    </w:p>
    <w:p>
      <w:r>
        <w:rPr>
          <w:rFonts w:ascii="Arial" w:hAnsi="Arial"/>
          <w:b/>
          <w:color w:val="C8983C"/>
          <w:sz w:val="18"/>
        </w:rPr>
        <w:t>FÜR MENSCH, PLANET UND DEMOKRATIE</w:t>
      </w:r>
    </w:p>
    <w:p>
      <w:pPr>
        <w:spacing w:before="120" w:after="200"/>
        <w:pBdr>
          <w:bottom w:val="single" w:sz="6" w:space="1" w:color="C8983C"/>
        </w:pBdr>
      </w:pPr>
    </w:p>
    <w:p>
      <w:pPr>
        <w:spacing w:before="400" w:after="120"/>
      </w:pPr>
      <w:r>
        <w:rPr>
          <w:rFonts w:ascii="Georgia" w:hAnsi="Georgia"/>
          <w:b/>
          <w:color w:val="08102A"/>
          <w:sz w:val="56"/>
        </w:rPr>
        <w:t>Gesundheit &amp; Pflege</w:t>
      </w:r>
    </w:p>
    <w:p>
      <w:r>
        <w:rPr>
          <w:rFonts w:ascii="Arial" w:hAnsi="Arial"/>
          <w:b/>
          <w:color w:val="2E7D5C"/>
          <w:sz w:val="26"/>
        </w:rPr>
        <w:t>Ein wirkungsökonomisches Konzept für Prävention, Pflege, Lebensqualität und resiliente Gesundheitsräume</w:t>
      </w:r>
    </w:p>
    <w:p/>
    <w:tbl>
      <w:tblPr>
        <w:tblStyle w:val="TableGrid"/>
        <w:tblW w:type="auto" w:w="0"/>
        <w:jc w:val="center"/>
        <w:tblLook w:firstColumn="1" w:firstRow="1" w:lastColumn="0" w:lastRow="0" w:noHBand="0" w:noVBand="1" w:val="04A0"/>
      </w:tblPr>
      <w:tblGrid>
        <w:gridCol w:w="5040"/>
        <w:gridCol w:w="5040"/>
      </w:tblGrid>
      <w:tr>
        <w:tc>
          <w:tcPr>
            <w:tcW w:type="dxa" w:w="5040"/>
            <w:vAlign w:val="top"/>
            <w:shd w:fill="F6F1E8"/>
          </w:tcPr>
          <w:p>
            <w:r/>
            <w:r>
              <w:rPr>
                <w:rFonts w:ascii="Arial" w:hAnsi="Arial"/>
                <w:b/>
                <w:color w:val="08102A"/>
                <w:sz w:val="19"/>
              </w:rPr>
              <w:t>Dokumenttyp</w:t>
            </w:r>
          </w:p>
        </w:tc>
        <w:tc>
          <w:tcPr>
            <w:tcW w:type="dxa" w:w="5040"/>
            <w:vAlign w:val="top"/>
          </w:tcPr>
          <w:p>
            <w:r/>
            <w:r>
              <w:rPr>
                <w:rFonts w:ascii="Arial" w:hAnsi="Arial"/>
                <w:b w:val="0"/>
                <w:color w:val="23242C"/>
                <w:sz w:val="19"/>
              </w:rPr>
              <w:t>Konzeptpapier</w:t>
            </w:r>
          </w:p>
        </w:tc>
      </w:tr>
      <w:tr>
        <w:tc>
          <w:tcPr>
            <w:tcW w:type="dxa" w:w="5040"/>
            <w:vAlign w:val="top"/>
            <w:shd w:fill="F6F1E8"/>
          </w:tcPr>
          <w:p>
            <w:r/>
            <w:r>
              <w:rPr>
                <w:rFonts w:ascii="Arial" w:hAnsi="Arial"/>
                <w:b/>
                <w:color w:val="08102A"/>
                <w:sz w:val="19"/>
              </w:rPr>
              <w:t>Autorin</w:t>
            </w:r>
          </w:p>
        </w:tc>
        <w:tc>
          <w:tcPr>
            <w:tcW w:type="dxa" w:w="5040"/>
            <w:vAlign w:val="top"/>
          </w:tcPr>
          <w:p>
            <w:r/>
            <w:r>
              <w:rPr>
                <w:rFonts w:ascii="Arial" w:hAnsi="Arial"/>
                <w:b w:val="0"/>
                <w:color w:val="23242C"/>
                <w:sz w:val="19"/>
              </w:rPr>
              <w:t>Natalie Weber</w:t>
            </w:r>
          </w:p>
        </w:tc>
      </w:tr>
      <w:tr>
        <w:tc>
          <w:tcPr>
            <w:tcW w:type="dxa" w:w="5040"/>
            <w:vAlign w:val="top"/>
            <w:shd w:fill="F6F1E8"/>
          </w:tcPr>
          <w:p>
            <w:r/>
            <w:r>
              <w:rPr>
                <w:rFonts w:ascii="Arial" w:hAnsi="Arial"/>
                <w:b/>
                <w:color w:val="08102A"/>
                <w:sz w:val="19"/>
              </w:rPr>
              <w:t>Referenz</w:t>
            </w:r>
          </w:p>
        </w:tc>
        <w:tc>
          <w:tcPr>
            <w:tcW w:type="dxa" w:w="5040"/>
            <w:vAlign w:val="top"/>
          </w:tcPr>
          <w:p>
            <w:r/>
            <w:r>
              <w:rPr>
                <w:rFonts w:ascii="Arial" w:hAnsi="Arial"/>
                <w:b w:val="0"/>
                <w:color w:val="23242C"/>
                <w:sz w:val="19"/>
              </w:rPr>
              <w:t>Wirkungsökonomie</w:t>
            </w:r>
          </w:p>
        </w:tc>
      </w:tr>
      <w:tr>
        <w:tc>
          <w:tcPr>
            <w:tcW w:type="dxa" w:w="5040"/>
            <w:vAlign w:val="top"/>
            <w:shd w:fill="F6F1E8"/>
          </w:tcPr>
          <w:p>
            <w:r/>
            <w:r>
              <w:rPr>
                <w:rFonts w:ascii="Arial" w:hAnsi="Arial"/>
                <w:b/>
                <w:color w:val="08102A"/>
                <w:sz w:val="19"/>
              </w:rPr>
              <w:t>Version / Stand</w:t>
            </w:r>
          </w:p>
        </w:tc>
        <w:tc>
          <w:tcPr>
            <w:tcW w:type="dxa" w:w="5040"/>
            <w:vAlign w:val="top"/>
          </w:tcPr>
          <w:p>
            <w:r/>
            <w:r>
              <w:rPr>
                <w:rFonts w:ascii="Arial" w:hAnsi="Arial"/>
                <w:b w:val="0"/>
                <w:color w:val="23242C"/>
                <w:sz w:val="19"/>
              </w:rPr>
              <w:t>v0.1 · 24. Mai 2026</w:t>
            </w:r>
          </w:p>
        </w:tc>
      </w:tr>
      <w:tr>
        <w:tc>
          <w:tcPr>
            <w:tcW w:type="dxa" w:w="5040"/>
            <w:vAlign w:val="top"/>
            <w:shd w:fill="F6F1E8"/>
          </w:tcPr>
          <w:p>
            <w:r/>
            <w:r>
              <w:rPr>
                <w:rFonts w:ascii="Arial" w:hAnsi="Arial"/>
                <w:b/>
                <w:color w:val="08102A"/>
                <w:sz w:val="19"/>
              </w:rPr>
              <w:t>Status</w:t>
            </w:r>
          </w:p>
        </w:tc>
        <w:tc>
          <w:tcPr>
            <w:tcW w:type="dxa" w:w="5040"/>
            <w:vAlign w:val="top"/>
          </w:tcPr>
          <w:p>
            <w:r/>
            <w:r>
              <w:rPr>
                <w:rFonts w:ascii="Arial" w:hAnsi="Arial"/>
                <w:b w:val="0"/>
                <w:color w:val="23242C"/>
                <w:sz w:val="19"/>
              </w:rPr>
              <w:t>Arbeitsfassung / Diskussionsfassung</w:t>
            </w:r>
          </w:p>
        </w:tc>
      </w:tr>
    </w:tbl>
    <w:p/>
    <w:p>
      <w:pPr>
        <w:ind w:left="216" w:right="216"/>
      </w:pPr>
      <w:r>
        <w:rPr>
          <w:rFonts w:ascii="Georgia" w:hAnsi="Georgia"/>
          <w:b/>
          <w:color w:val="08102A"/>
          <w:sz w:val="26"/>
        </w:rPr>
        <w:t>Leitsatz: Gesundheit ist kein medizinisches Ereignis, sondern ein gesellschaftlicher Zustand. Sie entsteht durch Prävention, Resilienz, Stabilität, Teilhabe, Pflege und gutes Leben.</w:t>
      </w:r>
    </w:p>
    <w:p>
      <w:r>
        <w:br w:type="page"/>
      </w:r>
    </w:p>
    <w:p>
      <w:pPr>
        <w:pStyle w:val="Heading1"/>
      </w:pPr>
      <w:r>
        <w:t>Inhaltsverzeichnis</w:t>
      </w:r>
    </w:p>
    <w:p>
      <w:pPr/>
      <w:r>
        <w:t>1. Executive Summary</w:t>
      </w:r>
    </w:p>
    <w:p>
      <w:pPr/>
      <w:r>
        <w:t>2. Ausgangslage</w:t>
      </w:r>
    </w:p>
    <w:p>
      <w:pPr/>
      <w:r>
        <w:t>3. Wirkungsökonomischer Perspektivwechsel</w:t>
      </w:r>
    </w:p>
    <w:p>
      <w:pPr/>
      <w:r>
        <w:t>4. Systemarchitektur Gesundheit &amp; Pflege</w:t>
      </w:r>
    </w:p>
    <w:p>
      <w:pPr/>
      <w:r>
        <w:t>5. Politische Anschlussfähigkeit</w:t>
      </w:r>
    </w:p>
    <w:p>
      <w:pPr/>
      <w:r>
        <w:t>6. Werkzeuge und Umsetzung</w:t>
      </w:r>
    </w:p>
    <w:p>
      <w:pPr/>
      <w:r>
        <w:t>7. Quellen</w:t>
      </w:r>
    </w:p>
    <w:p>
      <w:pPr>
        <w:spacing w:before="120" w:after="200"/>
        <w:pBdr>
          <w:bottom w:val="single" w:sz="6" w:space="1" w:color="C8983C"/>
        </w:pBdr>
      </w:pPr>
    </w:p>
    <w:p>
      <w:pPr>
        <w:pStyle w:val="Heading1"/>
      </w:pPr>
      <w:r>
        <w:t>1. Executive Summary</w:t>
      </w:r>
    </w:p>
    <w:p>
      <w:pPr>
        <w:spacing w:after="100"/>
      </w:pPr>
      <w:r>
        <w:rPr>
          <w:rFonts w:ascii="Arial" w:hAnsi="Arial"/>
          <w:color w:val="23242C"/>
          <w:sz w:val="20"/>
        </w:rPr>
        <w:t>Gesundheit &amp; Pflege ist Rang 10 der Wirkungsfeld-Architektur der Wirkungsökonomie. Der Bereich verbindet medizinische Versorgung mit Prävention, Pflege, psychischer Gesundheit, kommunalen Gesundheitsräumen, One Health, Arbeitswelt, Wohnen, Bildung, digitaler Selbstbestimmung und Finanzierungslogik.</w:t>
      </w:r>
    </w:p>
    <w:p>
      <w:pPr>
        <w:spacing w:after="100"/>
      </w:pPr>
      <w:r>
        <w:rPr>
          <w:rFonts w:ascii="Arial" w:hAnsi="Arial"/>
          <w:color w:val="23242C"/>
          <w:sz w:val="20"/>
        </w:rPr>
        <w:t>Die zentrale These lautet: Das heutige System finanziert überwiegend Krankheit; die Wirkungsökonomie finanziert Gesundheit. Behandlung bleibt notwendig, aber sie wird nicht länger zum alleinigen Motor des Systems. Prävention, Pflege, Resilienz, Lebensqualität und Gesundheitsgerechtigkeit werden eigenständige Wirkleistungen.</w:t>
      </w:r>
    </w:p>
    <w:tbl>
      <w:tblPr>
        <w:tblStyle w:val="TableGrid"/>
        <w:tblW w:type="auto" w:w="0"/>
        <w:tblLook w:firstColumn="1" w:firstRow="1" w:lastColumn="0" w:lastRow="0" w:noHBand="0" w:noVBand="1" w:val="04A0"/>
      </w:tblPr>
      <w:tblGrid>
        <w:gridCol w:w="10080"/>
      </w:tblGrid>
      <w:tr>
        <w:tc>
          <w:tcPr>
            <w:tcW w:type="dxa" w:w="10080"/>
            <w:shd w:fill="F6F1E8"/>
          </w:tcPr>
          <w:p>
            <w:r>
              <w:rPr>
                <w:rFonts w:ascii="Arial" w:hAnsi="Arial"/>
                <w:b/>
                <w:color w:val="2E7D5C"/>
                <w:sz w:val="18"/>
              </w:rPr>
              <w:t>Kernformel</w:t>
            </w:r>
          </w:p>
          <w:p>
            <w:r>
              <w:rPr>
                <w:sz w:val="18"/>
              </w:rPr>
              <w:t>Gesundheit ist kein medizinisches Ereignis, sondern ein gesellschaftlicher Zustand. Pflege ist keine Kostenstelle, sondern Beziehungs-, Würde- und Stabilitätsinfrastruktur.</w:t>
            </w:r>
          </w:p>
        </w:tc>
      </w:tr>
    </w:tbl>
    <w:p/>
    <w:p>
      <w:pPr>
        <w:pStyle w:val="Heading1"/>
      </w:pPr>
      <w:r>
        <w:t>2. Ausgangslage: Warum das bestehende System nicht reicht</w:t>
      </w:r>
    </w:p>
    <w:p>
      <w:pPr>
        <w:spacing w:after="100"/>
      </w:pPr>
      <w:r>
        <w:rPr>
          <w:rFonts w:ascii="Arial" w:hAnsi="Arial"/>
          <w:color w:val="23242C"/>
          <w:sz w:val="20"/>
        </w:rPr>
        <w:t>Das heutige Gesundheits- und Pflegesystem ist leistungsfähig, aber strukturell auf Reparatur ausgerichtet. Es wird besonders aktiv, wenn Krankheit, Pflegebedürftigkeit oder Krise bereits eingetreten sind. Die Wirkungsökonomie verschiebt diese Logik: Gesundheit wird nicht nur behandelt, sondern erzeugt, erhalten und als gesellschaftliche Resilienzleistung finanziert.</w:t>
      </w:r>
    </w:p>
    <w:p>
      <w:pPr>
        <w:spacing w:after="100"/>
      </w:pPr>
      <w:r>
        <w:rPr>
          <w:rFonts w:ascii="Arial" w:hAnsi="Arial"/>
          <w:color w:val="23242C"/>
          <w:sz w:val="20"/>
        </w:rPr>
        <w:t>Gesundheit entsteht nicht allein in Kliniken, Arztpraxen oder Pflegeeinrichtungen. Sie entsteht in Wohnungen, Schulen, Betrieben, Kantinen, Parks, Städten, Verkehrswegen, digitalen Räumen, Familien, Pflegebeziehungen, Arbeitszeitmodellen, Ernährungssystemen, Wasserqualität, Luftqualität, Sicherheit, Bildung, Einkommen, Vertrauen und sozialer Teilhabe.</w:t>
      </w:r>
    </w:p>
    <w:p>
      <w:pPr>
        <w:spacing w:after="100"/>
      </w:pPr>
      <w:r>
        <w:rPr>
          <w:rFonts w:ascii="Arial" w:hAnsi="Arial"/>
          <w:color w:val="23242C"/>
          <w:sz w:val="20"/>
        </w:rPr>
        <w:t>Damit wird Gesundheit zu einem Querschnittsfeld der Wirkungsökonomie. Wohnpolitik ist Gesundheitspolitik, Ernährungspolitik ist Gesundheitspolitik, Arbeitsmarktpolitik ist Gesundheitspolitik, Medien- und Digitalpolitik ist Gesundheitspolitik, wenn digitale Gewalt, Vergleichsdruck, Schlaf, Aufmerksamkeit, Angst oder Einsamkeit betroffen sind.</w:t>
      </w:r>
    </w:p>
    <w:p>
      <w:pPr>
        <w:spacing w:after="100"/>
      </w:pPr>
      <w:r>
        <w:rPr>
          <w:rFonts w:ascii="Arial" w:hAnsi="Arial"/>
          <w:color w:val="23242C"/>
          <w:sz w:val="20"/>
        </w:rPr>
        <w:t>Der Maßstab bleibt dabei nicht moralische Selbstoptimierung, sondern positive Netto-Wirkung für Mensch, Planet und Demokratie. Krankheit ist kein persönliches Versagen. Bewertet werden Systeme, Anreize, Infrastrukturen, Zugang, Verteilung, Prävention und Rückkopplungen – nicht der Wert einzelner Menschen.</w:t>
      </w:r>
    </w:p>
    <w:tbl>
      <w:tblPr>
        <w:tblStyle w:val="TableGrid"/>
        <w:tblW w:type="auto" w:w="0"/>
        <w:jc w:val="center"/>
        <w:tblLook w:firstColumn="1" w:firstRow="1" w:lastColumn="0" w:lastRow="0" w:noHBand="0" w:noVBand="1" w:val="04A0"/>
      </w:tblPr>
      <w:tblGrid>
        <w:gridCol w:w="5040"/>
        <w:gridCol w:w="5040"/>
      </w:tblGrid>
      <w:tr>
        <w:tc>
          <w:tcPr>
            <w:tcW w:type="dxa" w:w="5040"/>
            <w:vAlign w:val="top"/>
            <w:shd w:fill="F6F1E8"/>
          </w:tcPr>
          <w:p>
            <w:r>
              <w:rPr>
                <w:b/>
                <w:color w:val="08102A"/>
              </w:rPr>
            </w:r>
            <w:r>
              <w:rPr>
                <w:rFonts w:ascii="Arial" w:hAnsi="Arial"/>
                <w:b/>
                <w:color w:val="08102A"/>
                <w:sz w:val="19"/>
              </w:rPr>
              <w:t>Alte Logik</w:t>
            </w:r>
          </w:p>
        </w:tc>
        <w:tc>
          <w:tcPr>
            <w:tcW w:type="dxa" w:w="5040"/>
            <w:vAlign w:val="top"/>
            <w:shd w:fill="F6F1E8"/>
          </w:tcPr>
          <w:p>
            <w:r>
              <w:rPr>
                <w:b/>
                <w:color w:val="08102A"/>
              </w:rPr>
            </w:r>
            <w:r>
              <w:rPr>
                <w:rFonts w:ascii="Arial" w:hAnsi="Arial"/>
                <w:b/>
                <w:color w:val="08102A"/>
                <w:sz w:val="19"/>
              </w:rPr>
              <w:t>Wirkungsökonomische Logik</w:t>
            </w:r>
          </w:p>
        </w:tc>
      </w:tr>
      <w:tr>
        <w:tc>
          <w:tcPr>
            <w:tcW w:type="dxa" w:w="5040"/>
            <w:vAlign w:val="top"/>
          </w:tcPr>
          <w:p>
            <w:r/>
            <w:r>
              <w:rPr>
                <w:rFonts w:ascii="Arial" w:hAnsi="Arial"/>
                <w:b/>
                <w:color w:val="08102A"/>
                <w:sz w:val="19"/>
              </w:rPr>
              <w:t>Krankheit wird finanziert, sobald sie eingetreten ist.</w:t>
            </w:r>
          </w:p>
        </w:tc>
        <w:tc>
          <w:tcPr>
            <w:tcW w:type="dxa" w:w="5040"/>
            <w:vAlign w:val="top"/>
          </w:tcPr>
          <w:p>
            <w:r/>
            <w:r>
              <w:rPr>
                <w:rFonts w:ascii="Arial" w:hAnsi="Arial"/>
                <w:b w:val="0"/>
                <w:color w:val="23242C"/>
                <w:sz w:val="19"/>
              </w:rPr>
              <w:t>Gesundheit wird als Zustand erzeugt, erhalten und präventiv geschützt.</w:t>
            </w:r>
          </w:p>
        </w:tc>
      </w:tr>
      <w:tr>
        <w:tc>
          <w:tcPr>
            <w:tcW w:type="dxa" w:w="5040"/>
            <w:vAlign w:val="top"/>
          </w:tcPr>
          <w:p>
            <w:r/>
            <w:r>
              <w:rPr>
                <w:rFonts w:ascii="Arial" w:hAnsi="Arial"/>
                <w:b/>
                <w:color w:val="08102A"/>
                <w:sz w:val="19"/>
              </w:rPr>
              <w:t>Fallzahlen, Leistungen und Abrechnung dominieren.</w:t>
            </w:r>
          </w:p>
        </w:tc>
        <w:tc>
          <w:tcPr>
            <w:tcW w:type="dxa" w:w="5040"/>
            <w:vAlign w:val="top"/>
          </w:tcPr>
          <w:p>
            <w:r/>
            <w:r>
              <w:rPr>
                <w:rFonts w:ascii="Arial" w:hAnsi="Arial"/>
                <w:b w:val="0"/>
                <w:color w:val="23242C"/>
                <w:sz w:val="19"/>
              </w:rPr>
              <w:t>Zustandsveränderung, Lebensqualität, Prävention und Resilienz werden sichtbar.</w:t>
            </w:r>
          </w:p>
        </w:tc>
      </w:tr>
      <w:tr>
        <w:tc>
          <w:tcPr>
            <w:tcW w:type="dxa" w:w="5040"/>
            <w:vAlign w:val="top"/>
          </w:tcPr>
          <w:p>
            <w:r/>
            <w:r>
              <w:rPr>
                <w:rFonts w:ascii="Arial" w:hAnsi="Arial"/>
                <w:b/>
                <w:color w:val="08102A"/>
                <w:sz w:val="19"/>
              </w:rPr>
              <w:t>Pflege steht unter Kosten- und Personaldruck.</w:t>
            </w:r>
          </w:p>
        </w:tc>
        <w:tc>
          <w:tcPr>
            <w:tcW w:type="dxa" w:w="5040"/>
            <w:vAlign w:val="top"/>
          </w:tcPr>
          <w:p>
            <w:r/>
            <w:r>
              <w:rPr>
                <w:rFonts w:ascii="Arial" w:hAnsi="Arial"/>
                <w:b w:val="0"/>
                <w:color w:val="23242C"/>
                <w:sz w:val="19"/>
              </w:rPr>
              <w:t>Pflege wird als Wirkleistung, Beziehungsinfrastruktur und Präventionsraum anerkannt.</w:t>
            </w:r>
          </w:p>
        </w:tc>
      </w:tr>
      <w:tr>
        <w:tc>
          <w:tcPr>
            <w:tcW w:type="dxa" w:w="5040"/>
            <w:vAlign w:val="top"/>
          </w:tcPr>
          <w:p>
            <w:r/>
            <w:r>
              <w:rPr>
                <w:rFonts w:ascii="Arial" w:hAnsi="Arial"/>
                <w:b/>
                <w:color w:val="08102A"/>
                <w:sz w:val="19"/>
              </w:rPr>
              <w:t>Psychische Gesundheit wird spät und reaktiv bearbeitet.</w:t>
            </w:r>
          </w:p>
        </w:tc>
        <w:tc>
          <w:tcPr>
            <w:tcW w:type="dxa" w:w="5040"/>
            <w:vAlign w:val="top"/>
          </w:tcPr>
          <w:p>
            <w:r/>
            <w:r>
              <w:rPr>
                <w:rFonts w:ascii="Arial" w:hAnsi="Arial"/>
                <w:b w:val="0"/>
                <w:color w:val="23242C"/>
                <w:sz w:val="19"/>
              </w:rPr>
              <w:t>Psychische Stabilität, Beziehung, Sicherheit und Selbstwirksamkeit werden als Systembedingungen gelesen.</w:t>
            </w:r>
          </w:p>
        </w:tc>
      </w:tr>
      <w:tr>
        <w:tc>
          <w:tcPr>
            <w:tcW w:type="dxa" w:w="5040"/>
            <w:vAlign w:val="top"/>
          </w:tcPr>
          <w:p>
            <w:r/>
            <w:r>
              <w:rPr>
                <w:rFonts w:ascii="Arial" w:hAnsi="Arial"/>
                <w:b/>
                <w:color w:val="08102A"/>
                <w:sz w:val="19"/>
              </w:rPr>
              <w:t>Daten dienen Abrechnung und Kontrolle.</w:t>
            </w:r>
          </w:p>
        </w:tc>
        <w:tc>
          <w:tcPr>
            <w:tcW w:type="dxa" w:w="5040"/>
            <w:vAlign w:val="top"/>
          </w:tcPr>
          <w:p>
            <w:r/>
            <w:r>
              <w:rPr>
                <w:rFonts w:ascii="Arial" w:hAnsi="Arial"/>
                <w:b w:val="0"/>
                <w:color w:val="23242C"/>
                <w:sz w:val="19"/>
              </w:rPr>
              <w:t>Daten dienen Prävention, Frühwarnung, Versorgungsgerechtigkeit und Systemlernen unter Bürgerkontrolle.</w:t>
            </w:r>
          </w:p>
        </w:tc>
      </w:tr>
    </w:tbl>
    <w:p/>
    <w:p>
      <w:pPr>
        <w:pStyle w:val="Heading1"/>
      </w:pPr>
      <w:r>
        <w:t>3. Der wirkungsökonomische Perspektivwechsel</w:t>
      </w:r>
    </w:p>
    <w:p>
      <w:pPr>
        <w:spacing w:after="100"/>
      </w:pPr>
      <w:r>
        <w:rPr>
          <w:rFonts w:ascii="Arial" w:hAnsi="Arial"/>
          <w:color w:val="23242C"/>
          <w:sz w:val="20"/>
        </w:rPr>
        <w:t>Die Wirkungsökonomie verschiebt den Bewertungsmaßstab von Leistungserbringung zu Zustandsveränderung. Ein Gesundheitssystem ist nicht deshalb wirkungsfähig, weil viele Behandlungen stattfinden, sondern weil Menschen länger gesund, selbstständig, eingebunden, handlungsfähig und würdevoll leben können.</w:t>
      </w:r>
    </w:p>
    <w:p>
      <w:pPr>
        <w:spacing w:after="100"/>
      </w:pPr>
      <w:r>
        <w:rPr>
          <w:rFonts w:ascii="Arial" w:hAnsi="Arial"/>
          <w:color w:val="23242C"/>
          <w:sz w:val="20"/>
        </w:rPr>
        <w:t>Prävention ist dabei keine Restkategorie. Sie ist die erste Wirkleistung. Wenn eine Schule Bewegung, Ernährung und psychische Stabilität stärkt, wenn eine Kommune Hitzeinseln reduziert, wenn ein Betrieb psychische Sicherheit ermöglicht oder wenn ein Quartier Einsamkeit verringert, entsteht reale Gesundheitswirkung.</w:t>
      </w:r>
    </w:p>
    <w:p>
      <w:pPr>
        <w:spacing w:after="100"/>
      </w:pPr>
      <w:r>
        <w:rPr>
          <w:rFonts w:ascii="Arial" w:hAnsi="Arial"/>
          <w:color w:val="23242C"/>
          <w:sz w:val="20"/>
        </w:rPr>
        <w:t>Pflege erweitert diese Logik: Pflege ist nicht nur Reaktion auf Alter, Krankheit oder Behinderung. Sie erhält Autonomie, Würde, Beziehung, Selbstständigkeit, Familien- und Systemstabilität. Damit gehört Pflege nicht an den Rand des Gesundheitswesens, sondern ins Zentrum einer Resilienzarchitektur.</w:t>
      </w:r>
    </w:p>
    <w:p>
      <w:pPr>
        <w:pStyle w:val="Heading1"/>
      </w:pPr>
      <w:r>
        <w:t>4. Systemarchitektur Gesundheit &amp; Pflege</w:t>
      </w:r>
    </w:p>
    <w:p>
      <w:pPr>
        <w:pStyle w:val="Heading2"/>
      </w:pPr>
      <w:r>
        <w:t>Gesundheit als gesellschaftliches Wirkungsfeld</w:t>
      </w:r>
    </w:p>
    <w:p>
      <w:pPr>
        <w:spacing w:after="100"/>
      </w:pPr>
      <w:r>
        <w:rPr>
          <w:rFonts w:ascii="Arial" w:hAnsi="Arial"/>
          <w:color w:val="23242C"/>
          <w:sz w:val="20"/>
        </w:rPr>
        <w:t>Gesundheit wird nicht als medizinisches Einzelereignis verstanden, sondern als Zustand eines sozialen, ökologischen, wirtschaftlichen und demokratischen Systems.</w:t>
      </w:r>
    </w:p>
    <w:p>
      <w:pPr>
        <w:spacing w:after="100"/>
      </w:pPr>
      <w:r>
        <w:rPr>
          <w:rFonts w:ascii="Arial" w:hAnsi="Arial"/>
          <w:color w:val="23242C"/>
          <w:sz w:val="20"/>
        </w:rPr>
        <w:t>Gesundheit entsteht vor der Krankheit. Sie ist die Fähigkeit von Menschen und Gemeinschaften, handlungsfähig, resilient, eingebunden und würdevoll zu leben.</w:t>
      </w:r>
    </w:p>
    <w:p>
      <w:pPr>
        <w:spacing w:after="100"/>
      </w:pPr>
      <w:r>
        <w:rPr>
          <w:rFonts w:ascii="Arial" w:hAnsi="Arial"/>
          <w:color w:val="23242C"/>
          <w:sz w:val="20"/>
        </w:rPr>
        <w:t>Die Wirkungsökonomie macht sichtbar, dass Krankheit oft am Ende einer Wirkungskette steht: Armut, Stress, Einsamkeit, Luftverschmutzung, schlechte Ernährung, schlechte Wohnverhältnisse, digitale Gewalt, schlechte Arbeit, Bewegungsmangel oder fehlende Versorgung führen zu Zustandsverschlechterungen, lange bevor eine Diagnose erscheint.</w:t>
      </w:r>
    </w:p>
    <w:p>
      <w:pPr>
        <w:pStyle w:val="ListBullet"/>
      </w:pPr>
      <w:r>
        <w:rPr>
          <w:rFonts w:ascii="Arial" w:hAnsi="Arial"/>
          <w:sz w:val="20"/>
        </w:rPr>
        <w:t>Werkzeug / Anschluss: Gesundheitswirkungsindex</w:t>
      </w:r>
    </w:p>
    <w:p>
      <w:pPr>
        <w:pStyle w:val="ListBullet"/>
      </w:pPr>
      <w:r>
        <w:rPr>
          <w:rFonts w:ascii="Arial" w:hAnsi="Arial"/>
          <w:sz w:val="20"/>
        </w:rPr>
        <w:t>Werkzeug / Anschluss: WÖk-IDs für Gesundheit</w:t>
      </w:r>
    </w:p>
    <w:p>
      <w:pPr>
        <w:pStyle w:val="ListBullet"/>
      </w:pPr>
      <w:r>
        <w:rPr>
          <w:rFonts w:ascii="Arial" w:hAnsi="Arial"/>
          <w:sz w:val="20"/>
        </w:rPr>
        <w:t>Werkzeug / Anschluss: Wirkungshaushalt</w:t>
      </w:r>
    </w:p>
    <w:p>
      <w:pPr>
        <w:pStyle w:val="Heading2"/>
      </w:pPr>
      <w:r>
        <w:t>Prävention, Gesundheitskassen und Wirkungshaushalt</w:t>
      </w:r>
    </w:p>
    <w:p>
      <w:pPr>
        <w:spacing w:after="100"/>
      </w:pPr>
      <w:r>
        <w:rPr>
          <w:rFonts w:ascii="Arial" w:hAnsi="Arial"/>
          <w:color w:val="23242C"/>
          <w:sz w:val="20"/>
        </w:rPr>
        <w:t>Prävention wird zur ersten Wirkleistung des Gesundheitssystems und darf im Haushalt nicht schlechter aussehen als Reparatur.</w:t>
      </w:r>
    </w:p>
    <w:p>
      <w:pPr>
        <w:spacing w:after="100"/>
      </w:pPr>
      <w:r>
        <w:rPr>
          <w:rFonts w:ascii="Arial" w:hAnsi="Arial"/>
          <w:color w:val="23242C"/>
          <w:sz w:val="20"/>
        </w:rPr>
        <w:t>Heute erscheint Prävention politisch häufig teuer, weil der Schaden nicht eintritt und deshalb nicht als sichtbarer Erfolg verbucht wird. Diese Logik führt dazu, dass Behandlung finanziert wird, während wirksame Vorbeugung zu spät, zu kurz oder projektförmig bleibt.</w:t>
      </w:r>
    </w:p>
    <w:p>
      <w:pPr>
        <w:spacing w:after="100"/>
      </w:pPr>
      <w:r>
        <w:rPr>
          <w:rFonts w:ascii="Arial" w:hAnsi="Arial"/>
          <w:color w:val="23242C"/>
          <w:sz w:val="20"/>
        </w:rPr>
        <w:t>Die Wirkungsökonomie schlägt vor, Krankenkassen schrittweise als Gesundheitskassen zu lesen: nicht als Institutionen, die nur Krankheitskosten abwickeln, sondern als Träger von Gesundheitswirkung, Präventionsqualität und Resilienz.</w:t>
      </w:r>
    </w:p>
    <w:p>
      <w:pPr>
        <w:pStyle w:val="ListBullet"/>
      </w:pPr>
      <w:r>
        <w:rPr>
          <w:rFonts w:ascii="Arial" w:hAnsi="Arial"/>
          <w:sz w:val="20"/>
        </w:rPr>
        <w:t>Werkzeug / Anschluss: Präventionswirkungsrechner</w:t>
      </w:r>
    </w:p>
    <w:p>
      <w:pPr>
        <w:pStyle w:val="ListBullet"/>
      </w:pPr>
      <w:r>
        <w:rPr>
          <w:rFonts w:ascii="Arial" w:hAnsi="Arial"/>
          <w:sz w:val="20"/>
        </w:rPr>
        <w:t>Werkzeug / Anschluss: Gesundheitswirkungshaushalt</w:t>
      </w:r>
    </w:p>
    <w:p>
      <w:pPr>
        <w:pStyle w:val="ListBullet"/>
      </w:pPr>
      <w:r>
        <w:rPr>
          <w:rFonts w:ascii="Arial" w:hAnsi="Arial"/>
          <w:sz w:val="20"/>
        </w:rPr>
        <w:t>Werkzeug / Anschluss: kommunale Präventionsbudgets</w:t>
      </w:r>
    </w:p>
    <w:p>
      <w:pPr>
        <w:pStyle w:val="Heading2"/>
      </w:pPr>
      <w:r>
        <w:t>Pflege als Wirkungsinfrastruktur</w:t>
      </w:r>
    </w:p>
    <w:p>
      <w:pPr>
        <w:spacing w:after="100"/>
      </w:pPr>
      <w:r>
        <w:rPr>
          <w:rFonts w:ascii="Arial" w:hAnsi="Arial"/>
          <w:color w:val="23242C"/>
          <w:sz w:val="20"/>
        </w:rPr>
        <w:t>Pflege ist keine Endstation und keine private Restzuständigkeit, sondern Wirkleistung für Würde, Autonomie, Beziehung und soziale Stabilität.</w:t>
      </w:r>
    </w:p>
    <w:p>
      <w:pPr>
        <w:spacing w:after="100"/>
      </w:pPr>
      <w:r>
        <w:rPr>
          <w:rFonts w:ascii="Arial" w:hAnsi="Arial"/>
          <w:color w:val="23242C"/>
          <w:sz w:val="20"/>
        </w:rPr>
        <w:t>Pflege verändert Zustände: Menschen bleiben länger selbstständig, Angehörige werden entlastet, Krankenhausaufenthalte werden vermieden, Einsamkeit wird reduziert, Würde bleibt erhalten und Vertrauen in das Gemeinwesen wächst.</w:t>
      </w:r>
    </w:p>
    <w:p>
      <w:pPr>
        <w:spacing w:after="100"/>
      </w:pPr>
      <w:r>
        <w:rPr>
          <w:rFonts w:ascii="Arial" w:hAnsi="Arial"/>
          <w:color w:val="23242C"/>
          <w:sz w:val="20"/>
        </w:rPr>
        <w:t>Die alte Ordnung bewertet Pflege zu häufig als Kostenstelle. Die Wirkungsökonomie liest Pflege als Beziehungsinfrastruktur und Präventionsraum. Entscheidend ist nicht nur, wie viele Minuten erbracht wurden, sondern ob Pflege stabilisiert, entlastet, Selbstständigkeit erhält und Menschenwürde schützt.</w:t>
      </w:r>
    </w:p>
    <w:p>
      <w:pPr>
        <w:pStyle w:val="ListBullet"/>
      </w:pPr>
      <w:r>
        <w:rPr>
          <w:rFonts w:ascii="Arial" w:hAnsi="Arial"/>
          <w:sz w:val="20"/>
        </w:rPr>
        <w:t>Werkzeug / Anschluss: Pflegewirkungscheck</w:t>
      </w:r>
    </w:p>
    <w:p>
      <w:pPr>
        <w:pStyle w:val="ListBullet"/>
      </w:pPr>
      <w:r>
        <w:rPr>
          <w:rFonts w:ascii="Arial" w:hAnsi="Arial"/>
          <w:sz w:val="20"/>
        </w:rPr>
        <w:t>Werkzeug / Anschluss: Pflegequartiere</w:t>
      </w:r>
    </w:p>
    <w:p>
      <w:pPr>
        <w:pStyle w:val="ListBullet"/>
      </w:pPr>
      <w:r>
        <w:rPr>
          <w:rFonts w:ascii="Arial" w:hAnsi="Arial"/>
          <w:sz w:val="20"/>
        </w:rPr>
        <w:t>Werkzeug / Anschluss: Pflege-Sicherungsnetz</w:t>
      </w:r>
    </w:p>
    <w:p>
      <w:pPr>
        <w:pStyle w:val="Heading2"/>
      </w:pPr>
      <w:r>
        <w:t>Psychische Gesundheit und soziale Stabilität</w:t>
      </w:r>
    </w:p>
    <w:p>
      <w:pPr>
        <w:spacing w:after="100"/>
      </w:pPr>
      <w:r>
        <w:rPr>
          <w:rFonts w:ascii="Arial" w:hAnsi="Arial"/>
          <w:color w:val="23242C"/>
          <w:sz w:val="20"/>
        </w:rPr>
        <w:t>Psychische Gesundheit ist keine Nebenfrage, sondern ein demokratischer, sozialer und wirtschaftlicher Stabilitätsfaktor.</w:t>
      </w:r>
    </w:p>
    <w:p>
      <w:pPr>
        <w:spacing w:after="100"/>
      </w:pPr>
      <w:r>
        <w:rPr>
          <w:rFonts w:ascii="Arial" w:hAnsi="Arial"/>
          <w:color w:val="23242C"/>
          <w:sz w:val="20"/>
        </w:rPr>
        <w:t>Erschöpfung, Einsamkeit, Angst, digitale Gewalt, Mobbing, Traumata, Armut, unsichere Arbeit, Wohnstress und Diskursvergiftung sind nicht nur individuelle Belastungen. Sie wirken auf Arbeitsfähigkeit, Bildung, Familien, Vertrauen, politische Resilienz und demokratische Stabilität.</w:t>
      </w:r>
    </w:p>
    <w:p>
      <w:pPr>
        <w:spacing w:after="100"/>
      </w:pPr>
      <w:r>
        <w:rPr>
          <w:rFonts w:ascii="Arial" w:hAnsi="Arial"/>
          <w:color w:val="23242C"/>
          <w:sz w:val="20"/>
        </w:rPr>
        <w:t>Die Wirkungsökonomie fordert eine niedrigschwellige, lokale und digitale psychische Grundversorgung, ohne Menschen zu überwachen oder zu pathologisieren. Frühwarnung darf nur unterstützend, freiwillig, datenschutzkonform und ohne Sanktionierung funktionieren.</w:t>
      </w:r>
    </w:p>
    <w:p>
      <w:pPr>
        <w:pStyle w:val="ListBullet"/>
      </w:pPr>
      <w:r>
        <w:rPr>
          <w:rFonts w:ascii="Arial" w:hAnsi="Arial"/>
          <w:sz w:val="20"/>
        </w:rPr>
        <w:t>Werkzeug / Anschluss: Mental-Health-Reflexionstool</w:t>
      </w:r>
    </w:p>
    <w:p>
      <w:pPr>
        <w:pStyle w:val="ListBullet"/>
      </w:pPr>
      <w:r>
        <w:rPr>
          <w:rFonts w:ascii="Arial" w:hAnsi="Arial"/>
          <w:sz w:val="20"/>
        </w:rPr>
        <w:t>Werkzeug / Anschluss: psychisches Sicherheitsnetz</w:t>
      </w:r>
    </w:p>
    <w:p>
      <w:pPr>
        <w:pStyle w:val="ListBullet"/>
      </w:pPr>
      <w:r>
        <w:rPr>
          <w:rFonts w:ascii="Arial" w:hAnsi="Arial"/>
          <w:sz w:val="20"/>
        </w:rPr>
        <w:t>Werkzeug / Anschluss: Schulgesundheit</w:t>
      </w:r>
    </w:p>
    <w:p>
      <w:pPr>
        <w:pStyle w:val="Heading2"/>
      </w:pPr>
      <w:r>
        <w:t>Kommunale Gesundheitsräume und Quartiere</w:t>
      </w:r>
    </w:p>
    <w:p>
      <w:pPr>
        <w:spacing w:after="100"/>
      </w:pPr>
      <w:r>
        <w:rPr>
          <w:rFonts w:ascii="Arial" w:hAnsi="Arial"/>
          <w:color w:val="23242C"/>
          <w:sz w:val="20"/>
        </w:rPr>
        <w:t>Gesundheit entsteht im Nahraum: durch Grün, Schatten, Begegnung, Mobilität, Versorgung, Sicherheit, Barrierefreiheit und soziale Einbettung.</w:t>
      </w:r>
    </w:p>
    <w:p>
      <w:pPr>
        <w:spacing w:after="100"/>
      </w:pPr>
      <w:r>
        <w:rPr>
          <w:rFonts w:ascii="Arial" w:hAnsi="Arial"/>
          <w:color w:val="23242C"/>
          <w:sz w:val="20"/>
        </w:rPr>
        <w:t>Kommunen sind natürliche Reallabore der Gesundheit. Dort treffen Hitze, Lärm, Verkehr, Wohnstress, Einsamkeit, Pflegebedarf, Kultur, Bildung, Ernährung, Sicherheit und medizinische Versorgung zusammen.</w:t>
      </w:r>
    </w:p>
    <w:p>
      <w:pPr>
        <w:spacing w:after="100"/>
      </w:pPr>
      <w:r>
        <w:rPr>
          <w:rFonts w:ascii="Arial" w:hAnsi="Arial"/>
          <w:color w:val="23242C"/>
          <w:sz w:val="20"/>
        </w:rPr>
        <w:t>Ein kommunaler Gesundheitswirkungsraum fragt: Welche Zustände verändert ein Quartier? Gibt es Schattenräume, sichere Schulwege, Bewegung, Zugang zu Pflege, Hausärzt:innen, psychische Beratung, Begegnungsorte, ruhige Räume und digitale Teilhabe?</w:t>
      </w:r>
    </w:p>
    <w:p>
      <w:pPr>
        <w:pStyle w:val="ListBullet"/>
      </w:pPr>
      <w:r>
        <w:rPr>
          <w:rFonts w:ascii="Arial" w:hAnsi="Arial"/>
          <w:sz w:val="20"/>
        </w:rPr>
        <w:t>Werkzeug / Anschluss: Kommunaler Gesundheitsraum-Check</w:t>
      </w:r>
    </w:p>
    <w:p>
      <w:pPr>
        <w:pStyle w:val="ListBullet"/>
      </w:pPr>
      <w:r>
        <w:rPr>
          <w:rFonts w:ascii="Arial" w:hAnsi="Arial"/>
          <w:sz w:val="20"/>
        </w:rPr>
        <w:t>Werkzeug / Anschluss: Quartiersgesundheitszentren</w:t>
      </w:r>
    </w:p>
    <w:p>
      <w:pPr>
        <w:pStyle w:val="ListBullet"/>
      </w:pPr>
      <w:r>
        <w:rPr>
          <w:rFonts w:ascii="Arial" w:hAnsi="Arial"/>
          <w:sz w:val="20"/>
        </w:rPr>
        <w:t>Werkzeug / Anschluss: Hitzeschutz</w:t>
      </w:r>
    </w:p>
    <w:p>
      <w:pPr>
        <w:pStyle w:val="Heading2"/>
      </w:pPr>
      <w:r>
        <w:t>One Health, Klima, Umwelt und Ernährung</w:t>
      </w:r>
    </w:p>
    <w:p>
      <w:pPr>
        <w:spacing w:after="100"/>
      </w:pPr>
      <w:r>
        <w:rPr>
          <w:rFonts w:ascii="Arial" w:hAnsi="Arial"/>
          <w:color w:val="23242C"/>
          <w:sz w:val="20"/>
        </w:rPr>
        <w:t>Menschliche Gesundheit hängt mit Tieren, Pflanzen, Ökosystemen, Klima, Wasser, Boden, Biodiversität und Ernährungssystemen zusammen.</w:t>
      </w:r>
    </w:p>
    <w:p>
      <w:pPr>
        <w:spacing w:after="100"/>
      </w:pPr>
      <w:r>
        <w:rPr>
          <w:rFonts w:ascii="Arial" w:hAnsi="Arial"/>
          <w:color w:val="23242C"/>
          <w:sz w:val="20"/>
        </w:rPr>
        <w:t>Hitze beeinflusst Sterblichkeit, Pflegebedarf, Arbeitsfähigkeit und Krankenhauslast. Luftqualität wirkt auf Lunge, Herz-Kreislauf-System und Lebensqualität. Lärm erzeugt Stress und Schlafstörungen. Wasserqualität betrifft Infektionen, Ernährung und Hygiene. Biodiversität wirkt auf Ökosystemstabilität und Krankheitswege.</w:t>
      </w:r>
    </w:p>
    <w:p>
      <w:pPr>
        <w:spacing w:after="100"/>
      </w:pPr>
      <w:r>
        <w:rPr>
          <w:rFonts w:ascii="Arial" w:hAnsi="Arial"/>
          <w:color w:val="23242C"/>
          <w:sz w:val="20"/>
        </w:rPr>
        <w:t>One Health ist in der Wirkungsökonomie keine Zusatzperspektive, sondern eine Grundbedingung. Der Planet ist nicht Umgebung der Gesundheit, sondern Teil ihrer Voraussetzungen.</w:t>
      </w:r>
    </w:p>
    <w:p>
      <w:pPr>
        <w:pStyle w:val="ListBullet"/>
      </w:pPr>
      <w:r>
        <w:rPr>
          <w:rFonts w:ascii="Arial" w:hAnsi="Arial"/>
          <w:sz w:val="20"/>
        </w:rPr>
        <w:t>Werkzeug / Anschluss: One-Health-Score</w:t>
      </w:r>
    </w:p>
    <w:p>
      <w:pPr>
        <w:pStyle w:val="ListBullet"/>
      </w:pPr>
      <w:r>
        <w:rPr>
          <w:rFonts w:ascii="Arial" w:hAnsi="Arial"/>
          <w:sz w:val="20"/>
        </w:rPr>
        <w:t>Werkzeug / Anschluss: Produktwirkungssteuer</w:t>
      </w:r>
    </w:p>
    <w:p>
      <w:pPr>
        <w:pStyle w:val="ListBullet"/>
      </w:pPr>
      <w:r>
        <w:rPr>
          <w:rFonts w:ascii="Arial" w:hAnsi="Arial"/>
          <w:sz w:val="20"/>
        </w:rPr>
        <w:t>Werkzeug / Anschluss: Wirkungsumsatzsteuer</w:t>
      </w:r>
    </w:p>
    <w:p>
      <w:pPr>
        <w:pStyle w:val="Heading2"/>
      </w:pPr>
      <w:r>
        <w:t>Gesundheitsdaten, KI und Datenschutz</w:t>
      </w:r>
    </w:p>
    <w:p>
      <w:pPr>
        <w:spacing w:after="100"/>
      </w:pPr>
      <w:r>
        <w:rPr>
          <w:rFonts w:ascii="Arial" w:hAnsi="Arial"/>
          <w:color w:val="23242C"/>
          <w:sz w:val="20"/>
        </w:rPr>
        <w:t>Gesundheitsdaten dienen in der WÖk nicht Kontrolle, sondern Prävention, Frühwarnung, Versorgungsgerechtigkeit und Systemlernen unter striktem Schutz der Menschenwürde.</w:t>
      </w:r>
    </w:p>
    <w:p>
      <w:pPr>
        <w:spacing w:after="100"/>
      </w:pPr>
      <w:r>
        <w:rPr>
          <w:rFonts w:ascii="Arial" w:hAnsi="Arial"/>
          <w:color w:val="23242C"/>
          <w:sz w:val="20"/>
        </w:rPr>
        <w:t>Daten können helfen, Risiken früh zu erkennen: Hitzebelastung, Versorgungslücken, psychische Krisen, Pflegeüberlastung, Unfallrisiken, Medikationsrisiken oder soziale Isolation. Aber Gesundheitsdaten gehören zu den sensibelsten Daten einer Gesellschaft.</w:t>
      </w:r>
    </w:p>
    <w:p>
      <w:pPr>
        <w:spacing w:after="100"/>
      </w:pPr>
      <w:r>
        <w:rPr>
          <w:rFonts w:ascii="Arial" w:hAnsi="Arial"/>
          <w:color w:val="23242C"/>
          <w:sz w:val="20"/>
        </w:rPr>
        <w:t>Die Wirkungsökonomie trennt deshalb Systemdaten von Personenbewertung. Es darf keine Gesundheits-Scores gegen Menschen geben. Daten müssen freiwillig, zweckgebunden, minimiert, sicher, erklärbar, kontrollierbar und demokratisch beaufsichtigt sein.</w:t>
      </w:r>
    </w:p>
    <w:p>
      <w:pPr>
        <w:pStyle w:val="ListBullet"/>
      </w:pPr>
      <w:r>
        <w:rPr>
          <w:rFonts w:ascii="Arial" w:hAnsi="Arial"/>
          <w:sz w:val="20"/>
        </w:rPr>
        <w:t>Werkzeug / Anschluss: Gesundheitsdatenraum</w:t>
      </w:r>
    </w:p>
    <w:p>
      <w:pPr>
        <w:pStyle w:val="ListBullet"/>
      </w:pPr>
      <w:r>
        <w:rPr>
          <w:rFonts w:ascii="Arial" w:hAnsi="Arial"/>
          <w:sz w:val="20"/>
        </w:rPr>
        <w:t>Werkzeug / Anschluss: Privacy by Design</w:t>
      </w:r>
    </w:p>
    <w:p>
      <w:pPr>
        <w:pStyle w:val="ListBullet"/>
      </w:pPr>
      <w:r>
        <w:rPr>
          <w:rFonts w:ascii="Arial" w:hAnsi="Arial"/>
          <w:sz w:val="20"/>
        </w:rPr>
        <w:t>Werkzeug / Anschluss: KI-Risikocheck</w:t>
      </w:r>
    </w:p>
    <w:p>
      <w:pPr>
        <w:pStyle w:val="Heading2"/>
      </w:pPr>
      <w:r>
        <w:t>Arbeitswelt, Unternehmen und Gesundheitswirkung</w:t>
      </w:r>
    </w:p>
    <w:p>
      <w:pPr>
        <w:spacing w:after="100"/>
      </w:pPr>
      <w:r>
        <w:rPr>
          <w:rFonts w:ascii="Arial" w:hAnsi="Arial"/>
          <w:color w:val="23242C"/>
          <w:sz w:val="20"/>
        </w:rPr>
        <w:t>Arbeit ist ein Gesundheitsraum. Führung, Arbeitszeit, KI-Druck, Lohn, Sicherheit, Mitbestimmung und psychische Kultur wirken direkt auf Gesundheit.</w:t>
      </w:r>
    </w:p>
    <w:p>
      <w:pPr>
        <w:spacing w:after="100"/>
      </w:pPr>
      <w:r>
        <w:rPr>
          <w:rFonts w:ascii="Arial" w:hAnsi="Arial"/>
          <w:color w:val="23242C"/>
          <w:sz w:val="20"/>
        </w:rPr>
        <w:t>Unternehmen erzeugen Gesundheitswirkung nicht nur über Produkte, sondern über Arbeitsbedingungen, Lieferketten, Führung, Schichtmodelle, ergonomische Gestaltung, psychische Sicherheit, toxische Kulturen und Automatisierungsfolgen.</w:t>
      </w:r>
    </w:p>
    <w:p>
      <w:pPr>
        <w:spacing w:after="100"/>
      </w:pPr>
      <w:r>
        <w:rPr>
          <w:rFonts w:ascii="Arial" w:hAnsi="Arial"/>
          <w:color w:val="23242C"/>
          <w:sz w:val="20"/>
        </w:rPr>
        <w:t>Die WÖk verbindet Gesundheit mit Unternehmensführung: gesunde Arbeit ist keine Benefits-Frage, sondern Teil der Unternehmenswirkung. Wer dauerhaft Burnout, Unfallrisiken, Lohnstress oder Entgrenzung erzeugt, verschiebt Kosten in Krankenversicherung, Pflege, Familien und Demokratie.</w:t>
      </w:r>
    </w:p>
    <w:p>
      <w:pPr>
        <w:pStyle w:val="ListBullet"/>
      </w:pPr>
      <w:r>
        <w:rPr>
          <w:rFonts w:ascii="Arial" w:hAnsi="Arial"/>
          <w:sz w:val="20"/>
        </w:rPr>
        <w:t>Werkzeug / Anschluss: Unternehmens-Wirkungscheck</w:t>
      </w:r>
    </w:p>
    <w:p>
      <w:pPr>
        <w:pStyle w:val="ListBullet"/>
      </w:pPr>
      <w:r>
        <w:rPr>
          <w:rFonts w:ascii="Arial" w:hAnsi="Arial"/>
          <w:sz w:val="20"/>
        </w:rPr>
        <w:t>Werkzeug / Anschluss: Arbeitsgesundheits-Scorecard</w:t>
      </w:r>
    </w:p>
    <w:p>
      <w:pPr>
        <w:pStyle w:val="ListBullet"/>
      </w:pPr>
      <w:r>
        <w:rPr>
          <w:rFonts w:ascii="Arial" w:hAnsi="Arial"/>
          <w:sz w:val="20"/>
        </w:rPr>
        <w:t>Werkzeug / Anschluss: T-SROI</w:t>
      </w:r>
    </w:p>
    <w:p>
      <w:pPr>
        <w:pStyle w:val="Heading1"/>
      </w:pPr>
      <w:r>
        <w:t>5. Politische Anschlussfähigkeit und Umsetzungsoptionen</w:t>
      </w:r>
    </w:p>
    <w:p>
      <w:pPr>
        <w:spacing w:after="100"/>
      </w:pPr>
      <w:r>
        <w:rPr>
          <w:rFonts w:ascii="Arial" w:hAnsi="Arial"/>
          <w:color w:val="23242C"/>
          <w:sz w:val="20"/>
        </w:rPr>
        <w:t>Die folgenden Anforderungen beschreiben keinen fertigen Parteibeschluss. Sie markieren den notwendigen Rahmen, damit Gesundheit &amp; Pflege demokratisch, rechtsstaatlich und praktisch umgesetzt werden können. Unterschiedliche Parteien können innerhalb dieses Rahmens verschiedene Wege wählen.</w:t>
      </w:r>
    </w:p>
    <w:tbl>
      <w:tblPr>
        <w:tblStyle w:val="TableGrid"/>
        <w:tblW w:type="auto" w:w="0"/>
        <w:jc w:val="center"/>
        <w:tblLook w:firstColumn="1" w:firstRow="1" w:lastColumn="0" w:lastRow="0" w:noHBand="0" w:noVBand="1" w:val="04A0"/>
      </w:tblPr>
      <w:tblGrid>
        <w:gridCol w:w="5040"/>
        <w:gridCol w:w="5040"/>
      </w:tblGrid>
      <w:tr>
        <w:tc>
          <w:tcPr>
            <w:tcW w:type="dxa" w:w="5040"/>
            <w:vAlign w:val="top"/>
            <w:shd w:fill="F6F1E8"/>
          </w:tcPr>
          <w:p>
            <w:r>
              <w:rPr>
                <w:b/>
                <w:color w:val="08102A"/>
              </w:rPr>
            </w:r>
            <w:r>
              <w:rPr>
                <w:rFonts w:ascii="Arial" w:hAnsi="Arial"/>
                <w:b/>
                <w:color w:val="08102A"/>
                <w:sz w:val="19"/>
              </w:rPr>
              <w:t>Ebene</w:t>
            </w:r>
          </w:p>
        </w:tc>
        <w:tc>
          <w:tcPr>
            <w:tcW w:type="dxa" w:w="5040"/>
            <w:vAlign w:val="top"/>
            <w:shd w:fill="F6F1E8"/>
          </w:tcPr>
          <w:p>
            <w:r>
              <w:rPr>
                <w:b/>
                <w:color w:val="08102A"/>
              </w:rPr>
            </w:r>
            <w:r>
              <w:rPr>
                <w:rFonts w:ascii="Arial" w:hAnsi="Arial"/>
                <w:b/>
                <w:color w:val="08102A"/>
                <w:sz w:val="19"/>
              </w:rPr>
              <w:t>Aufgabe für Politik und Umsetzung</w:t>
            </w:r>
          </w:p>
        </w:tc>
      </w:tr>
      <w:tr>
        <w:tc>
          <w:tcPr>
            <w:tcW w:type="dxa" w:w="5040"/>
            <w:vAlign w:val="top"/>
          </w:tcPr>
          <w:p>
            <w:r/>
            <w:r>
              <w:rPr>
                <w:rFonts w:ascii="Arial" w:hAnsi="Arial"/>
                <w:b/>
                <w:color w:val="08102A"/>
                <w:sz w:val="19"/>
              </w:rPr>
              <w:t>Aufgabe der Politik</w:t>
            </w:r>
          </w:p>
        </w:tc>
        <w:tc>
          <w:tcPr>
            <w:tcW w:type="dxa" w:w="5040"/>
            <w:vAlign w:val="top"/>
          </w:tcPr>
          <w:p>
            <w:r/>
            <w:r>
              <w:rPr>
                <w:rFonts w:ascii="Arial" w:hAnsi="Arial"/>
                <w:b w:val="0"/>
                <w:color w:val="23242C"/>
                <w:sz w:val="19"/>
              </w:rPr>
              <w:t>Den Rahmen schaffen, damit Gesundheit nicht nur als Behandlungskostenblock erscheint, sondern als präventive, soziale, ökologische und demokratische Systemleistung sichtbar wird.</w:t>
            </w:r>
          </w:p>
        </w:tc>
      </w:tr>
      <w:tr>
        <w:tc>
          <w:tcPr>
            <w:tcW w:type="dxa" w:w="5040"/>
            <w:vAlign w:val="top"/>
          </w:tcPr>
          <w:p>
            <w:r/>
            <w:r>
              <w:rPr>
                <w:rFonts w:ascii="Arial" w:hAnsi="Arial"/>
                <w:b/>
                <w:color w:val="08102A"/>
                <w:sz w:val="19"/>
              </w:rPr>
              <w:t>Politische Rahmenbedingungen</w:t>
            </w:r>
          </w:p>
        </w:tc>
        <w:tc>
          <w:tcPr>
            <w:tcW w:type="dxa" w:w="5040"/>
            <w:vAlign w:val="top"/>
          </w:tcPr>
          <w:p>
            <w:r/>
            <w:r>
              <w:rPr>
                <w:rFonts w:ascii="Arial" w:hAnsi="Arial"/>
                <w:b w:val="0"/>
                <w:color w:val="23242C"/>
                <w:sz w:val="19"/>
              </w:rPr>
              <w:t>Gesundheitswirkungshaushalte, Präventionsbudgets, Pflegewirkung, kommunale Gesundheitsräume, Datenstandards, Datenschutz, Versorgungssicherheit und unabhängige Evaluation.</w:t>
            </w:r>
          </w:p>
        </w:tc>
      </w:tr>
      <w:tr>
        <w:tc>
          <w:tcPr>
            <w:tcW w:type="dxa" w:w="5040"/>
            <w:vAlign w:val="top"/>
          </w:tcPr>
          <w:p>
            <w:r/>
            <w:r>
              <w:rPr>
                <w:rFonts w:ascii="Arial" w:hAnsi="Arial"/>
                <w:b/>
                <w:color w:val="08102A"/>
                <w:sz w:val="19"/>
              </w:rPr>
              <w:t>Ausgestaltungsspielraum</w:t>
            </w:r>
          </w:p>
        </w:tc>
        <w:tc>
          <w:tcPr>
            <w:tcW w:type="dxa" w:w="5040"/>
            <w:vAlign w:val="top"/>
          </w:tcPr>
          <w:p>
            <w:r/>
            <w:r>
              <w:rPr>
                <w:rFonts w:ascii="Arial" w:hAnsi="Arial"/>
                <w:b w:val="0"/>
                <w:color w:val="23242C"/>
                <w:sz w:val="19"/>
              </w:rPr>
              <w:t>Parteien können unterschiedliche Wege wählen: stärkere kommunale Steuerung, mehr Kassenautonomie, Präventionsboni, öffentliche Fonds, Versicherungsmodelle, Modellregionen oder gesetzliche Mindeststandards.</w:t>
            </w:r>
          </w:p>
        </w:tc>
      </w:tr>
      <w:tr>
        <w:tc>
          <w:tcPr>
            <w:tcW w:type="dxa" w:w="5040"/>
            <w:vAlign w:val="top"/>
          </w:tcPr>
          <w:p>
            <w:r/>
            <w:r>
              <w:rPr>
                <w:rFonts w:ascii="Arial" w:hAnsi="Arial"/>
                <w:b/>
                <w:color w:val="08102A"/>
                <w:sz w:val="19"/>
              </w:rPr>
              <w:t>Zielkonflikte</w:t>
            </w:r>
          </w:p>
        </w:tc>
        <w:tc>
          <w:tcPr>
            <w:tcW w:type="dxa" w:w="5040"/>
            <w:vAlign w:val="top"/>
          </w:tcPr>
          <w:p>
            <w:r/>
            <w:r>
              <w:rPr>
                <w:rFonts w:ascii="Arial" w:hAnsi="Arial"/>
                <w:b w:val="0"/>
                <w:color w:val="23242C"/>
                <w:sz w:val="19"/>
              </w:rPr>
              <w:t>Freiheit und Schutz, Prävention und Bevormundungsrisiko, Datenschutz und Frühwarnsysteme, Kostendruck und Qualität, Zentralisierung und Nahversorgung, Innovation und Solidarität müssen demokratisch ausbalanciert werden.</w:t>
            </w:r>
          </w:p>
        </w:tc>
      </w:tr>
      <w:tr>
        <w:tc>
          <w:tcPr>
            <w:tcW w:type="dxa" w:w="5040"/>
            <w:vAlign w:val="top"/>
          </w:tcPr>
          <w:p>
            <w:r/>
            <w:r>
              <w:rPr>
                <w:rFonts w:ascii="Arial" w:hAnsi="Arial"/>
                <w:b/>
                <w:color w:val="08102A"/>
                <w:sz w:val="19"/>
              </w:rPr>
              <w:t>Rollenverteilung</w:t>
            </w:r>
          </w:p>
        </w:tc>
        <w:tc>
          <w:tcPr>
            <w:tcW w:type="dxa" w:w="5040"/>
            <w:vAlign w:val="top"/>
          </w:tcPr>
          <w:p>
            <w:r/>
            <w:r>
              <w:rPr>
                <w:rFonts w:ascii="Arial" w:hAnsi="Arial"/>
                <w:b w:val="0"/>
                <w:color w:val="23242C"/>
                <w:sz w:val="19"/>
              </w:rPr>
              <w:t>EU, Bund, Länder, Kommunen, Krankenkassen, Pflegekassen, Leistungserbringer, Unternehmen, Wissenschaft, Zivilgesellschaft und Bürger:innen tragen unterschiedliche Aufgaben.</w:t>
            </w:r>
          </w:p>
        </w:tc>
      </w:tr>
      <w:tr>
        <w:tc>
          <w:tcPr>
            <w:tcW w:type="dxa" w:w="5040"/>
            <w:vAlign w:val="top"/>
          </w:tcPr>
          <w:p>
            <w:r/>
            <w:r>
              <w:rPr>
                <w:rFonts w:ascii="Arial" w:hAnsi="Arial"/>
                <w:b/>
                <w:color w:val="08102A"/>
                <w:sz w:val="19"/>
              </w:rPr>
              <w:t>Übergang und Schutz</w:t>
            </w:r>
          </w:p>
        </w:tc>
        <w:tc>
          <w:tcPr>
            <w:tcW w:type="dxa" w:w="5040"/>
            <w:vAlign w:val="top"/>
          </w:tcPr>
          <w:p>
            <w:r/>
            <w:r>
              <w:rPr>
                <w:rFonts w:ascii="Arial" w:hAnsi="Arial"/>
                <w:b w:val="0"/>
                <w:color w:val="23242C"/>
                <w:sz w:val="19"/>
              </w:rPr>
              <w:t>Pilotregionen, Härtefallregeln, Datenschutz, keine Personen-Scores, keine Sanktionierung von Krankheit, Schutz vulnerabler Gruppen, Fachkräfteschutz und digitale Barrierefreiheit.</w:t>
            </w:r>
          </w:p>
        </w:tc>
      </w:tr>
      <w:tr>
        <w:tc>
          <w:tcPr>
            <w:tcW w:type="dxa" w:w="5040"/>
            <w:vAlign w:val="top"/>
          </w:tcPr>
          <w:p>
            <w:r/>
            <w:r>
              <w:rPr>
                <w:rFonts w:ascii="Arial" w:hAnsi="Arial"/>
                <w:b/>
                <w:color w:val="08102A"/>
                <w:sz w:val="19"/>
              </w:rPr>
              <w:t>Evaluation und Korrektur</w:t>
            </w:r>
          </w:p>
        </w:tc>
        <w:tc>
          <w:tcPr>
            <w:tcW w:type="dxa" w:w="5040"/>
            <w:vAlign w:val="top"/>
          </w:tcPr>
          <w:p>
            <w:r/>
            <w:r>
              <w:rPr>
                <w:rFonts w:ascii="Arial" w:hAnsi="Arial"/>
                <w:b w:val="0"/>
                <w:color w:val="23242C"/>
                <w:sz w:val="19"/>
              </w:rPr>
              <w:t>Wirkungsberichte, Gesundheitswirkungsindex, Präventionswirkungsrechner, Pflegestabilitätsindikatoren, öffentliche Konsultation und Revisionszyklen.</w:t>
            </w:r>
          </w:p>
        </w:tc>
      </w:tr>
      <w:tr>
        <w:tc>
          <w:tcPr>
            <w:tcW w:type="dxa" w:w="5040"/>
            <w:vAlign w:val="top"/>
          </w:tcPr>
          <w:p>
            <w:r/>
            <w:r>
              <w:rPr>
                <w:rFonts w:ascii="Arial" w:hAnsi="Arial"/>
                <w:b/>
                <w:color w:val="08102A"/>
                <w:sz w:val="19"/>
              </w:rPr>
              <w:t>Parteipolitische Anschlussfähigkeit</w:t>
            </w:r>
          </w:p>
        </w:tc>
        <w:tc>
          <w:tcPr>
            <w:tcW w:type="dxa" w:w="5040"/>
            <w:vAlign w:val="top"/>
          </w:tcPr>
          <w:p>
            <w:r/>
            <w:r>
              <w:rPr>
                <w:rFonts w:ascii="Arial" w:hAnsi="Arial"/>
                <w:b w:val="0"/>
                <w:color w:val="23242C"/>
                <w:sz w:val="19"/>
              </w:rPr>
              <w:t>Liberale, konservative, sozialdemokratische, grüne, linke, kommunale und wirtschaftsnahe Perspektiven können unterschiedliche Ausgestaltungen wählen, solange Wirkung sichtbar und korrigierbar bleibt.</w:t>
            </w:r>
          </w:p>
        </w:tc>
      </w:tr>
    </w:tbl>
    <w:p/>
    <w:p>
      <w:pPr>
        <w:pStyle w:val="Heading1"/>
      </w:pPr>
      <w:r>
        <w:t>6. Umsetzung in Phasen</w:t>
      </w:r>
    </w:p>
    <w:p>
      <w:pPr>
        <w:pStyle w:val="ListBullet"/>
      </w:pPr>
      <w:r>
        <w:rPr>
          <w:rFonts w:ascii="Arial" w:hAnsi="Arial"/>
          <w:sz w:val="20"/>
        </w:rPr>
        <w:t>Phase 1: Gesundheitswirkungsbericht, WÖk-ID-Mapping, kommunale Pilotregionen, Präventionswirkungsrechner und Pflegewirkungscheck.</w:t>
      </w:r>
    </w:p>
    <w:p>
      <w:pPr>
        <w:pStyle w:val="ListBullet"/>
      </w:pPr>
      <w:r>
        <w:rPr>
          <w:rFonts w:ascii="Arial" w:hAnsi="Arial"/>
          <w:sz w:val="20"/>
        </w:rPr>
        <w:t>Phase 2: Gesundheitskassen-Piloten, Gesundheitswirkungshaushalte, Pflegequartiere, psychische Grundversorgung und digitale Gesundheitslots:innen.</w:t>
      </w:r>
    </w:p>
    <w:p>
      <w:pPr>
        <w:pStyle w:val="ListBullet"/>
      </w:pPr>
      <w:r>
        <w:rPr>
          <w:rFonts w:ascii="Arial" w:hAnsi="Arial"/>
          <w:sz w:val="20"/>
        </w:rPr>
        <w:t>Phase 3: Wirkungsfonds Gesundheit &amp; Pflege, systematische Verknüpfung mit Wohnen, Bildung, Unternehmen, Medien, Arbeit und Klima.</w:t>
      </w:r>
    </w:p>
    <w:p>
      <w:pPr>
        <w:pStyle w:val="ListBullet"/>
      </w:pPr>
      <w:r>
        <w:rPr>
          <w:rFonts w:ascii="Arial" w:hAnsi="Arial"/>
          <w:sz w:val="20"/>
        </w:rPr>
        <w:t>Phase 4: Rechtsrahmen, Wirkungsrat, Datenstandards, Evaluation und regelmäßige demokratische Korrektur.</w:t>
      </w:r>
    </w:p>
    <w:p>
      <w:pPr>
        <w:pStyle w:val="Heading1"/>
      </w:pPr>
      <w:r>
        <w:t>Quellen und Anschlussdokumente</w:t>
      </w:r>
    </w:p>
    <w:p>
      <w:pPr>
        <w:spacing w:after="100"/>
      </w:pPr>
      <w:r>
        <w:rPr>
          <w:rFonts w:ascii="Arial" w:hAnsi="Arial"/>
          <w:color w:val="23242C"/>
          <w:sz w:val="20"/>
        </w:rPr>
        <w:t>Diese Arbeitsfassung ist ein öffentliches Fach- und Konzeptdokument der Wirkungsökonomie. Sie ersetzt keine medizinische, rechtliche oder steuerliche Beratung. Für Diagnosen, Behandlung und individuelle Gesundheitsentscheidungen sind qualifizierte Fachstellen zuständig.</w:t>
      </w:r>
    </w:p>
    <w:p>
      <w:pPr>
        <w:pStyle w:val="ListBullet"/>
      </w:pPr>
      <w:r>
        <w:rPr>
          <w:rFonts w:ascii="Arial" w:hAnsi="Arial"/>
          <w:sz w:val="20"/>
        </w:rPr>
        <w:t>Weber, Natalie: Die neue Ordnung des Wohlstands. Arbeitsfassung 2026. Kapitel 68 Gesundheit, Kapitel 69 Pflege, Kapitel zu Wirkungshaushalt, Resilienzstaat und Wirkungsfonds.</w:t>
      </w:r>
    </w:p>
    <w:p>
      <w:pPr>
        <w:pStyle w:val="ListBullet"/>
      </w:pPr>
      <w:r>
        <w:rPr>
          <w:rFonts w:ascii="Arial" w:hAnsi="Arial"/>
          <w:sz w:val="20"/>
        </w:rPr>
        <w:t>Weber, Natalie: Systemmodell der Wirkungsökonomie, 2025. Spalte 7 Gesundheit, Pflege &amp; Leben.</w:t>
      </w:r>
    </w:p>
    <w:p>
      <w:pPr>
        <w:pStyle w:val="ListBullet"/>
      </w:pPr>
      <w:r>
        <w:rPr>
          <w:rFonts w:ascii="Arial" w:hAnsi="Arial"/>
          <w:sz w:val="20"/>
        </w:rPr>
        <w:t>Weber, Natalie: Führender Begriffsleitfaden der Wirkungsökonomie, Version 1.0, 2026.</w:t>
      </w:r>
    </w:p>
    <w:p>
      <w:pPr>
        <w:pStyle w:val="ListBullet"/>
      </w:pPr>
      <w:r>
        <w:rPr>
          <w:rFonts w:ascii="Arial" w:hAnsi="Arial"/>
          <w:sz w:val="20"/>
        </w:rPr>
        <w:t>World Health Organization (WHO): Constitution of the World Health Organization; Social determinants of health; One Health.</w:t>
      </w:r>
    </w:p>
    <w:p>
      <w:pPr>
        <w:pStyle w:val="ListBullet"/>
      </w:pPr>
      <w:r>
        <w:rPr>
          <w:rFonts w:ascii="Arial" w:hAnsi="Arial"/>
          <w:sz w:val="20"/>
        </w:rPr>
        <w:t>OECD: Health at a Glance 2025: Germany und Health expenditure on prevention and primary healthcare.</w:t>
      </w:r>
    </w:p>
    <w:p>
      <w:pPr>
        <w:pStyle w:val="ListBullet"/>
      </w:pPr>
      <w:r>
        <w:rPr>
          <w:rFonts w:ascii="Arial" w:hAnsi="Arial"/>
          <w:sz w:val="20"/>
        </w:rPr>
        <w:t>Destatis: Gesundheitsausgaben 2024; Pflegebedürftige in Deutschland 2023; Gesundheits- und Pflegestatistiken.</w:t>
      </w:r>
    </w:p>
    <w:p>
      <w:pPr>
        <w:pStyle w:val="ListBullet"/>
      </w:pPr>
      <w:r>
        <w:rPr>
          <w:rFonts w:ascii="Arial" w:hAnsi="Arial"/>
          <w:sz w:val="20"/>
        </w:rPr>
        <w:t>Bundesministerium für Gesundheit: Informationen zu Gesundheit, Prävention, Pflege und Krankenhausstrukturreform.</w:t>
      </w:r>
    </w:p>
    <w:p>
      <w:pPr>
        <w:pStyle w:val="ListBullet"/>
      </w:pPr>
      <w:r>
        <w:rPr>
          <w:rFonts w:ascii="Arial" w:hAnsi="Arial"/>
          <w:sz w:val="20"/>
        </w:rPr>
        <w:t>Robert Koch-Institut / Gesundheitsberichterstattung des Bundes: Gesundheitsindikatoren, Prävention, psychische Gesundheit, soziale Determinanten.</w:t>
      </w:r>
    </w:p>
    <w:p>
      <w:pPr>
        <w:pStyle w:val="ListBullet"/>
      </w:pPr>
      <w:r>
        <w:rPr>
          <w:rFonts w:ascii="Arial" w:hAnsi="Arial"/>
          <w:sz w:val="20"/>
        </w:rPr>
        <w:t>EU / Europäische Kommission: Europäische Gesundheitsdatenräume, EU4Health, Klima- und Gesundheitsbezüge, einschlägige Gesundheits- und Digitalrechtsakte.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5"/>
      </w:rPr>
      <w:t>Konzeptpapier · Natalie Weber · Wirkungsökonomie · v0.1 · 24.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Für Mensch, Planet und Demokratie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324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Georgia" w:hAnsi="Georgia"/>
      <w:b/>
      <w:bCs/>
      <w:color w:val="08102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Georgia" w:hAnsi="Georgia"/>
      <w:b/>
      <w:bCs/>
      <w:color w:val="08102A"/>
      <w:sz w:val="32"/>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Georgia" w:hAnsi="Georgia"/>
      <w:b/>
      <w:bCs/>
      <w:color w:val="08102A"/>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