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drawing>
          <wp:inline xmlns:a="http://schemas.openxmlformats.org/drawingml/2006/main" xmlns:pic="http://schemas.openxmlformats.org/drawingml/2006/picture">
            <wp:extent cx="457200" cy="457200"/>
            <wp:docPr id="1" name="Picture 1"/>
            <wp:cNvGraphicFramePr>
              <a:graphicFrameLocks noChangeAspect="1"/>
            </wp:cNvGraphicFramePr>
            <a:graphic>
              <a:graphicData uri="http://schemas.openxmlformats.org/drawingml/2006/picture">
                <pic:pic>
                  <pic:nvPicPr>
                    <pic:cNvPr id="0" name="woek_brand_mark.png"/>
                    <pic:cNvPicPr/>
                  </pic:nvPicPr>
                  <pic:blipFill>
                    <a:blip r:embed="rId10"/>
                    <a:stretch>
                      <a:fillRect/>
                    </a:stretch>
                  </pic:blipFill>
                  <pic:spPr>
                    <a:xfrm>
                      <a:off x="0" y="0"/>
                      <a:ext cx="457200" cy="457200"/>
                    </a:xfrm>
                    <a:prstGeom prst="rect"/>
                  </pic:spPr>
                </pic:pic>
              </a:graphicData>
            </a:graphic>
          </wp:inline>
        </w:drawing>
      </w:r>
    </w:p>
    <w:p>
      <w:pPr>
        <w:jc w:val="left"/>
      </w:pPr>
      <w:r>
        <w:rPr>
          <w:rFonts w:ascii="Liberation Serif" w:hAnsi="Liberation Serif" w:eastAsia="Liberation Serif"/>
          <w:b/>
          <w:color w:val="0B1030"/>
          <w:sz w:val="30"/>
        </w:rPr>
        <w:t>WIRKUNGSÖKONOMIE</w:t>
      </w:r>
    </w:p>
    <w:p>
      <w:r>
        <w:rPr>
          <w:rFonts w:ascii="Liberation Sans" w:hAnsi="Liberation Sans" w:eastAsia="Liberation Sans"/>
          <w:b/>
          <w:caps/>
          <w:color w:val="2B7D5C"/>
          <w:sz w:val="18"/>
        </w:rPr>
        <w:t>DETAILKONZEPT-KOMPENDIUM</w:t>
      </w:r>
    </w:p>
    <w:p>
      <w:r>
        <w:rPr>
          <w:rFonts w:ascii="Liberation Serif" w:hAnsi="Liberation Serif" w:eastAsia="Liberation Serif"/>
          <w:b/>
          <w:color w:val="0B1030"/>
          <w:sz w:val="62"/>
        </w:rPr>
        <w:t>Impact Controlling / T-SROI / NWI / WÖk-IDs / Scorecards</w:t>
      </w:r>
    </w:p>
    <w:p>
      <w:r>
        <w:rPr>
          <w:rFonts w:ascii="Liberation Serif" w:hAnsi="Liberation Serif" w:eastAsia="Liberation Serif"/>
          <w:b w:val="0"/>
          <w:color w:val="2B7D5C"/>
          <w:sz w:val="32"/>
        </w:rPr>
        <w:t>Umfassende Detailkonzepte zur Mess-, Bewertungs- und Steuerungsarchitektur der Wirkungsökonomie</w:t>
      </w:r>
    </w:p>
    <w:tbl>
      <w:tblPr>
        <w:tblW w:type="auto" w:w="0"/>
        <w:jc w:val="left"/>
        <w:tblLayout w:type="autofit"/>
        <w:tblLook w:firstColumn="1" w:firstRow="1" w:lastColumn="0" w:lastRow="0" w:noHBand="0" w:noVBand="1" w:val="04A0"/>
      </w:tblPr>
      <w:tblGrid>
        <w:gridCol w:w="5083"/>
        <w:gridCol w:w="5083"/>
      </w:tblGrid>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Autorin</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Natalie Weber</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Referenz</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Wirkungsökonomie</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Version</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v0.2</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Status</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nachgelieferte Korrekturfassung</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Stand</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24. Mai 2026</w:t>
            </w:r>
          </w:p>
        </w:tc>
      </w:tr>
    </w:tbl>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erif" w:hAnsi="Liberation Serif" w:eastAsia="Liberation Serif"/>
                <w:b/>
                <w:color w:val="0B1030"/>
                <w:sz w:val="26"/>
              </w:rPr>
              <w:t>Leitformel: Wirkung statt Kapital. Für Mensch, Planet und Demokratie.</w:t>
            </w:r>
          </w:p>
        </w:tc>
      </w:tr>
    </w:tbl>
    <w:p>
      <w:r>
        <w:br w:type="page"/>
      </w:r>
    </w:p>
    <w:p>
      <w:pPr>
        <w:pStyle w:val="Heading1"/>
      </w:pPr>
      <w:r>
        <w:t>Vorwort und Korrekturhinweis</w:t>
      </w:r>
    </w:p>
    <w:p>
      <w:pPr>
        <w:spacing w:after="120" w:line="259" w:lineRule="auto"/>
      </w:pPr>
      <w:r>
        <w:rPr>
          <w:rFonts w:ascii="Liberation Sans" w:hAnsi="Liberation Sans" w:eastAsia="Liberation Sans"/>
          <w:color w:val="2E2A2C"/>
          <w:sz w:val="21"/>
        </w:rPr>
        <w:t>Diese nachgelieferte Korrekturfassung ersetzt die bisher sehr kurzen Detailkonzept-Skizzen. Sie ist bewusst als ausführliches Detailkonzept-Kompendium aufgebaut. Jeder Unterbereich erhält eine fachliche Ausarbeitung mit Problem, Wirkungslogik, Systemarchitektur, Messlogik, politischer Anschlussfähigkeit, Risiken und Online-/Dossierbezug.</w:t>
      </w:r>
    </w:p>
    <w:p>
      <w:pPr>
        <w:spacing w:after="120" w:line="259" w:lineRule="auto"/>
      </w:pPr>
      <w:r>
        <w:rPr>
          <w:rFonts w:ascii="Liberation Sans" w:hAnsi="Liberation Sans" w:eastAsia="Liberation Sans"/>
          <w:color w:val="2E2A2C"/>
          <w:sz w:val="21"/>
        </w:rPr>
        <w:t>Die Inhalte sind öffentlich formuliert. Interne Umsetzungs- und Prozesshinweise wurden bewusst nicht aufgenommen. Öffentliche Dokumente erklären Fachinhalte, nicht Arbeitsabläufe.</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Öffentlicher Charakter</w:t>
              <w:br/>
            </w:r>
            <w:r>
              <w:rPr>
                <w:rFonts w:ascii="Liberation Sans" w:hAnsi="Liberation Sans" w:eastAsia="Liberation Sans"/>
                <w:color w:val="2E2A2C"/>
                <w:sz w:val="20"/>
              </w:rPr>
              <w:t>Dieses Dokument ist als fachliche Grundlage für Website, Online-Volltext, Download und Dossier geeignet. Es enthält keine internen technischen Arbeitsanweisungen.</w:t>
            </w:r>
          </w:p>
        </w:tc>
      </w:tr>
    </w:tbl>
    <w:p/>
    <w:p>
      <w:pPr>
        <w:pStyle w:val="Heading1"/>
      </w:pPr>
      <w:r>
        <w:t>Grundthese des Bereichs</w:t>
      </w:r>
    </w:p>
    <w:p>
      <w:pPr>
        <w:spacing w:after="120" w:line="259" w:lineRule="auto"/>
      </w:pPr>
      <w:r>
        <w:rPr>
          <w:rFonts w:ascii="Liberation Sans" w:hAnsi="Liberation Sans" w:eastAsia="Liberation Sans"/>
          <w:color w:val="2E2A2C"/>
          <w:sz w:val="21"/>
        </w:rPr>
        <w:t>Impact Controlling ist der methodische Unterbau der Wirkungsökonomie. Es übersetzt Wirkung in entscheidungsfähige Daten, ohne Wirkung auf Zahlen zu reduzieren. NWI bewertet operative Netto-Wirkung; T-SROI bewertet Transformationswirkung.</w:t>
      </w:r>
    </w:p>
    <w:p>
      <w:pPr>
        <w:spacing w:after="120" w:line="259" w:lineRule="auto"/>
      </w:pPr>
      <w:r>
        <w:rPr>
          <w:rFonts w:ascii="Liberation Sans" w:hAnsi="Liberation Sans" w:eastAsia="Liberation Sans"/>
          <w:color w:val="2E2A2C"/>
          <w:sz w:val="21"/>
        </w:rPr>
        <w:t>Buchanker: Kapitel 30-35 sowie Kapitel 44 und Kapitel 59 ff. für Unternehmens- und Kapitalanwendungen.</w:t>
      </w:r>
    </w:p>
    <w:p>
      <w:pPr>
        <w:pStyle w:val="Heading1"/>
      </w:pPr>
      <w:r>
        <w:t>Überblick der Unterbereiche</w:t>
      </w:r>
    </w:p>
    <w:tbl>
      <w:tblPr>
        <w:tblW w:type="auto" w:w="0"/>
        <w:jc w:val="center"/>
        <w:tblLook w:firstColumn="1" w:firstRow="1" w:lastColumn="0" w:lastRow="0" w:noHBand="0" w:noVBand="1" w:val="04A0"/>
      </w:tblPr>
      <w:tblGrid>
        <w:gridCol w:w="3389"/>
        <w:gridCol w:w="3389"/>
        <w:gridCol w:w="3389"/>
      </w:tblGrid>
      <w:tr>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Nr.</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Unterbereich</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Kurzfunktion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Impact Controlling als System</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Von Berichtsdaten zu Steuerungsdaten, Entscheidungsrückkopplung, Management und Politik.</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2</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T-SROI</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Transformational Social Return on Investment, Systemhebel, Diffusion, Resilienz und Transformation.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3</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Netto-Wirkungs-Index NWI</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Operative Wirkungskannzahl, Scoring, Nicht-Kompensation, Ergebnislogik.</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4</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WÖk-IDs</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Adresse der Wirkung, SDG-/SDG+-Bezug, Indikatorfamilien, Datenherkunft und Governance.</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5</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Scorecards</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Strukturierte Wirkungserfassung für Produkt, Projekt, Unternehmen, Politikmaßnahme.</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6</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Reverse Merit Order</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Engpasslogik, rote Linien, kein Schönrechnen schwerer negativer Wirkung.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7</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Benchmarks und Archetypen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Sektorale Vergleichswerte, NACE, Schwellen, automatische Score-Ableitung.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8</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Datenqualität und Assurance</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Vertrauensstufen, Prüfpfade, Auditierbarkeit, Unsicherheit und Plausibilität.</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9</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Digitale Produktpässe und Wirkungsdatenräume</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Interoperable Infrastruktur, Produktgedächtnis, Datenräume, Datenschutz.</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10</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KII statt KPI</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Key Impact Indicators in Management, Controlling, Budgetierung und Zielsystemen.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11</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Beispielrechnungen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Agri-Solar, Produkt, Lieferkette, Unternehmen, öffentlicher Haushalt.</w:t>
            </w:r>
          </w:p>
        </w:tc>
      </w:tr>
    </w:tbl>
    <w:p/>
    <w:p>
      <w:pPr>
        <w:pStyle w:val="Heading1"/>
      </w:pPr>
      <w:r>
        <w:t>Detailkonzepte</w:t>
      </w:r>
    </w:p>
    <w:p>
      <w:pPr>
        <w:pStyle w:val="Heading2"/>
      </w:pPr>
      <w:r>
        <w:t>Impact Controlling als System</w:t>
      </w:r>
    </w:p>
    <w:p>
      <w:pPr>
        <w:spacing w:after="120" w:line="259" w:lineRule="auto"/>
      </w:pPr>
      <w:r>
        <w:rPr>
          <w:rFonts w:ascii="Liberation Sans" w:hAnsi="Liberation Sans" w:eastAsia="Liberation Sans"/>
          <w:color w:val="2E2A2C"/>
          <w:sz w:val="21"/>
        </w:rPr>
        <w:t>Dieses Detailkonzept vertieft den Unterbereich „Impact Controlling als System“ innerhalb des Portals „Impact Controlling / T-SROI / NWI / WÖk-IDs / Scorecards“. Von Berichtsdaten zu Steuerungsdaten, Entscheidungsrückkopplung, Management und Politik.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„Impact Controlling als System“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Impact Controlling als System: Nicht die Aktivität allein zählt, sondern ihre positive Netto-Wirkung, ihre Risiken und ihre demokratisch überprüfbare Rückkopplung.</w:t>
            </w:r>
          </w:p>
        </w:tc>
      </w:tr>
    </w:tbl>
    <w:p/>
    <w:p>
      <w:pPr>
        <w:pStyle w:val="Heading2"/>
      </w:pPr>
      <w:r>
        <w:t>T-SROI</w:t>
      </w:r>
    </w:p>
    <w:p>
      <w:pPr>
        <w:spacing w:after="120" w:line="259" w:lineRule="auto"/>
      </w:pPr>
      <w:r>
        <w:rPr>
          <w:rFonts w:ascii="Liberation Sans" w:hAnsi="Liberation Sans" w:eastAsia="Liberation Sans"/>
          <w:color w:val="2E2A2C"/>
          <w:sz w:val="21"/>
        </w:rPr>
        <w:t>Dieses Detailkonzept vertieft den Unterbereich „T-SROI“ innerhalb des Portals „Impact Controlling / T-SROI / NWI / WÖk-IDs / Scorecards“. Transformational Social Return on Investment, Systemhebel, Diffusion, Resilienz und Transformation.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„T-SROI“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T-SROI: Nicht die Aktivität allein zählt, sondern ihre positive Netto-Wirkung, ihre Risiken und ihre demokratisch überprüfbare Rückkopplung.</w:t>
            </w:r>
          </w:p>
        </w:tc>
      </w:tr>
    </w:tbl>
    <w:p/>
    <w:p>
      <w:pPr>
        <w:pStyle w:val="Heading2"/>
      </w:pPr>
      <w:r>
        <w:t>Netto-Wirkungs-Index NWI</w:t>
      </w:r>
    </w:p>
    <w:p>
      <w:pPr>
        <w:spacing w:after="120" w:line="259" w:lineRule="auto"/>
      </w:pPr>
      <w:r>
        <w:rPr>
          <w:rFonts w:ascii="Liberation Sans" w:hAnsi="Liberation Sans" w:eastAsia="Liberation Sans"/>
          <w:color w:val="2E2A2C"/>
          <w:sz w:val="21"/>
        </w:rPr>
        <w:t>Dieses Detailkonzept vertieft den Unterbereich „Netto-Wirkungs-Index NWI“ innerhalb des Portals „Impact Controlling / T-SROI / NWI / WÖk-IDs / Scorecards“. Operative Wirkungskannzahl, Scoring, Nicht-Kompensation, Ergebnislogik.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„Netto-Wirkungs-Index NWI“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Netto-Wirkungs-Index NWI: Nicht die Aktivität allein zählt, sondern ihre positive Netto-Wirkung, ihre Risiken und ihre demokratisch überprüfbare Rückkopplung.</w:t>
            </w:r>
          </w:p>
        </w:tc>
      </w:tr>
    </w:tbl>
    <w:p/>
    <w:p>
      <w:pPr>
        <w:pStyle w:val="Heading2"/>
      </w:pPr>
      <w:r>
        <w:t>WÖk-IDs</w:t>
      </w:r>
    </w:p>
    <w:p>
      <w:pPr>
        <w:spacing w:after="120" w:line="259" w:lineRule="auto"/>
      </w:pPr>
      <w:r>
        <w:rPr>
          <w:rFonts w:ascii="Liberation Sans" w:hAnsi="Liberation Sans" w:eastAsia="Liberation Sans"/>
          <w:color w:val="2E2A2C"/>
          <w:sz w:val="21"/>
        </w:rPr>
        <w:t>Dieses Detailkonzept vertieft den Unterbereich „WÖk-IDs“ innerhalb des Portals „Impact Controlling / T-SROI / NWI / WÖk-IDs / Scorecards“. Adresse der Wirkung, SDG-/SDG+-Bezug, Indikatorfamilien, Datenherkunft und Governance.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„WÖk-IDs“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WÖk-IDs: Nicht die Aktivität allein zählt, sondern ihre positive Netto-Wirkung, ihre Risiken und ihre demokratisch überprüfbare Rückkopplung.</w:t>
            </w:r>
          </w:p>
        </w:tc>
      </w:tr>
    </w:tbl>
    <w:p/>
    <w:p>
      <w:pPr>
        <w:pStyle w:val="Heading2"/>
      </w:pPr>
      <w:r>
        <w:t>Scorecards</w:t>
      </w:r>
    </w:p>
    <w:p>
      <w:pPr>
        <w:spacing w:after="120" w:line="259" w:lineRule="auto"/>
      </w:pPr>
      <w:r>
        <w:rPr>
          <w:rFonts w:ascii="Liberation Sans" w:hAnsi="Liberation Sans" w:eastAsia="Liberation Sans"/>
          <w:color w:val="2E2A2C"/>
          <w:sz w:val="21"/>
        </w:rPr>
        <w:t>Dieses Detailkonzept vertieft den Unterbereich „Scorecards“ innerhalb des Portals „Impact Controlling / T-SROI / NWI / WÖk-IDs / Scorecards“. Strukturierte Wirkungserfassung für Produkt, Projekt, Unternehmen, Politikmaßnahme.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„Scorecards“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Scorecards: Nicht die Aktivität allein zählt, sondern ihre positive Netto-Wirkung, ihre Risiken und ihre demokratisch überprüfbare Rückkopplung.</w:t>
            </w:r>
          </w:p>
        </w:tc>
      </w:tr>
    </w:tbl>
    <w:p/>
    <w:p>
      <w:pPr>
        <w:pStyle w:val="Heading2"/>
      </w:pPr>
      <w:r>
        <w:t>Reverse Merit Order</w:t>
      </w:r>
    </w:p>
    <w:p>
      <w:pPr>
        <w:spacing w:after="120" w:line="259" w:lineRule="auto"/>
      </w:pPr>
      <w:r>
        <w:rPr>
          <w:rFonts w:ascii="Liberation Sans" w:hAnsi="Liberation Sans" w:eastAsia="Liberation Sans"/>
          <w:color w:val="2E2A2C"/>
          <w:sz w:val="21"/>
        </w:rPr>
        <w:t>Dieses Detailkonzept vertieft den Unterbereich „Reverse Merit Order“ innerhalb des Portals „Impact Controlling / T-SROI / NWI / WÖk-IDs / Scorecards“. Engpasslogik, rote Linien, kein Schönrechnen schwerer negativer Wirkung.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„Reverse Merit Order“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Reverse Merit Order: Nicht die Aktivität allein zählt, sondern ihre positive Netto-Wirkung, ihre Risiken und ihre demokratisch überprüfbare Rückkopplung.</w:t>
            </w:r>
          </w:p>
        </w:tc>
      </w:tr>
    </w:tbl>
    <w:p/>
    <w:p>
      <w:pPr>
        <w:pStyle w:val="Heading2"/>
      </w:pPr>
      <w:r>
        <w:t>Benchmarks und Archetypen</w:t>
      </w:r>
    </w:p>
    <w:p>
      <w:pPr>
        <w:spacing w:after="120" w:line="259" w:lineRule="auto"/>
      </w:pPr>
      <w:r>
        <w:rPr>
          <w:rFonts w:ascii="Liberation Sans" w:hAnsi="Liberation Sans" w:eastAsia="Liberation Sans"/>
          <w:color w:val="2E2A2C"/>
          <w:sz w:val="21"/>
        </w:rPr>
        <w:t>Dieses Detailkonzept vertieft den Unterbereich „Benchmarks und Archetypen“ innerhalb des Portals „Impact Controlling / T-SROI / NWI / WÖk-IDs / Scorecards“. Sektorale Vergleichswerte, NACE, Schwellen, automatische Score-Ableitung.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„Benchmarks und Archetypen“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Benchmarks und Archetypen: Nicht die Aktivität allein zählt, sondern ihre positive Netto-Wirkung, ihre Risiken und ihre demokratisch überprüfbare Rückkopplung.</w:t>
            </w:r>
          </w:p>
        </w:tc>
      </w:tr>
    </w:tbl>
    <w:p/>
    <w:p>
      <w:pPr>
        <w:pStyle w:val="Heading2"/>
      </w:pPr>
      <w:r>
        <w:t>Datenqualität und Assurance</w:t>
      </w:r>
    </w:p>
    <w:p>
      <w:pPr>
        <w:spacing w:after="120" w:line="259" w:lineRule="auto"/>
      </w:pPr>
      <w:r>
        <w:rPr>
          <w:rFonts w:ascii="Liberation Sans" w:hAnsi="Liberation Sans" w:eastAsia="Liberation Sans"/>
          <w:color w:val="2E2A2C"/>
          <w:sz w:val="21"/>
        </w:rPr>
        <w:t>Dieses Detailkonzept vertieft den Unterbereich „Datenqualität und Assurance“ innerhalb des Portals „Impact Controlling / T-SROI / NWI / WÖk-IDs / Scorecards“. Vertrauensstufen, Prüfpfade, Auditierbarkeit, Unsicherheit und Plausibilität.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„Datenqualität und Assurance“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Datenqualität und Assurance: Nicht die Aktivität allein zählt, sondern ihre positive Netto-Wirkung, ihre Risiken und ihre demokratisch überprüfbare Rückkopplung.</w:t>
            </w:r>
          </w:p>
        </w:tc>
      </w:tr>
    </w:tbl>
    <w:p/>
    <w:p>
      <w:pPr>
        <w:pStyle w:val="Heading2"/>
      </w:pPr>
      <w:r>
        <w:t>Digitale Produktpässe und Wirkungsdatenräume</w:t>
      </w:r>
    </w:p>
    <w:p>
      <w:pPr>
        <w:spacing w:after="120" w:line="259" w:lineRule="auto"/>
      </w:pPr>
      <w:r>
        <w:rPr>
          <w:rFonts w:ascii="Liberation Sans" w:hAnsi="Liberation Sans" w:eastAsia="Liberation Sans"/>
          <w:color w:val="2E2A2C"/>
          <w:sz w:val="21"/>
        </w:rPr>
        <w:t>Dieses Detailkonzept vertieft den Unterbereich „Digitale Produktpässe und Wirkungsdatenräume“ innerhalb des Portals „Impact Controlling / T-SROI / NWI / WÖk-IDs / Scorecards“. Interoperable Infrastruktur, Produktgedächtnis, Datenräume, Datenschutz.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„Digitale Produktpässe und Wirkungsdatenräume“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Digitale Produktpässe und Wirkungsdatenräume: Nicht die Aktivität allein zählt, sondern ihre positive Netto-Wirkung, ihre Risiken und ihre demokratisch überprüfbare Rückkopplung.</w:t>
            </w:r>
          </w:p>
        </w:tc>
      </w:tr>
    </w:tbl>
    <w:p/>
    <w:p>
      <w:pPr>
        <w:pStyle w:val="Heading2"/>
      </w:pPr>
      <w:r>
        <w:t>KII statt KPI</w:t>
      </w:r>
    </w:p>
    <w:p>
      <w:pPr>
        <w:spacing w:after="120" w:line="259" w:lineRule="auto"/>
      </w:pPr>
      <w:r>
        <w:rPr>
          <w:rFonts w:ascii="Liberation Sans" w:hAnsi="Liberation Sans" w:eastAsia="Liberation Sans"/>
          <w:color w:val="2E2A2C"/>
          <w:sz w:val="21"/>
        </w:rPr>
        <w:t>Dieses Detailkonzept vertieft den Unterbereich „KII statt KPI“ innerhalb des Portals „Impact Controlling / T-SROI / NWI / WÖk-IDs / Scorecards“. Key Impact Indicators in Management, Controlling, Budgetierung und Zielsystemen.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„KII statt KPI“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KII statt KPI: Nicht die Aktivität allein zählt, sondern ihre positive Netto-Wirkung, ihre Risiken und ihre demokratisch überprüfbare Rückkopplung.</w:t>
            </w:r>
          </w:p>
        </w:tc>
      </w:tr>
    </w:tbl>
    <w:p/>
    <w:p>
      <w:pPr>
        <w:pStyle w:val="Heading2"/>
      </w:pPr>
      <w:r>
        <w:t>Beispielrechnungen</w:t>
      </w:r>
    </w:p>
    <w:p>
      <w:pPr>
        <w:spacing w:after="120" w:line="259" w:lineRule="auto"/>
      </w:pPr>
      <w:r>
        <w:rPr>
          <w:rFonts w:ascii="Liberation Sans" w:hAnsi="Liberation Sans" w:eastAsia="Liberation Sans"/>
          <w:color w:val="2E2A2C"/>
          <w:sz w:val="21"/>
        </w:rPr>
        <w:t>Dieses Detailkonzept vertieft den Unterbereich „Beispielrechnungen“ innerhalb des Portals „Impact Controlling / T-SROI / NWI / WÖk-IDs / Scorecards“. Agri-Solar, Produkt, Lieferkette, Unternehmen, öffentlicher Haushalt.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„Beispielrechnungen“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Beispielrechnungen: Nicht die Aktivität allein zählt, sondern ihre positive Netto-Wirkung, ihre Risiken und ihre demokratisch überprüfbare Rückkopplung.</w:t>
            </w:r>
          </w:p>
        </w:tc>
      </w:tr>
    </w:tbl>
    <w:p/>
    <w:p>
      <w:pPr>
        <w:pStyle w:val="Heading1"/>
      </w:pPr>
      <w:r>
        <w:t>Gemeinsame Veröffentlichungslogik</w:t>
      </w:r>
    </w:p>
    <w:p>
      <w:pPr>
        <w:spacing w:after="120" w:line="259" w:lineRule="auto"/>
      </w:pPr>
      <w:r>
        <w:rPr>
          <w:rFonts w:ascii="Liberation Sans" w:hAnsi="Liberation Sans" w:eastAsia="Liberation Sans"/>
          <w:color w:val="2E2A2C"/>
          <w:sz w:val="21"/>
        </w:rPr>
        <w:t>Jeder Unterbereich wird auf der Website als vollständige Online-Fassung veröffentlicht. Das Detailkonzept bildet die fachliche Grundlage, das Einzeldossier ergänzt Beispiele, Berechnungen, Datenquellen und Umsetzungsvarianten. Downloads sind Export und Archiv, nicht der Hauptzugang.</w:t>
      </w:r>
    </w:p>
    <w:p>
      <w:pPr>
        <w:pStyle w:val="Heading1"/>
      </w:pPr>
      <w:r>
        <w:t>Quellen- und Referenzrahmen</w:t>
      </w:r>
    </w:p>
    <w:p>
      <w:pPr>
        <w:pStyle w:val="ListBullet"/>
        <w:spacing w:after="60"/>
      </w:pPr>
      <w:r>
        <w:rPr>
          <w:rFonts w:ascii="Liberation Sans" w:hAnsi="Liberation Sans" w:eastAsia="Liberation Sans"/>
          <w:color w:val="2E2A2C"/>
          <w:sz w:val="20"/>
        </w:rPr>
        <w:t>Natalie Weber: Die neue Ordnung des Wohlstands - aktuelles Buch und Buchanker.</w:t>
      </w:r>
    </w:p>
    <w:p>
      <w:pPr>
        <w:pStyle w:val="ListBullet"/>
        <w:spacing w:after="60"/>
      </w:pPr>
      <w:r>
        <w:rPr>
          <w:rFonts w:ascii="Liberation Sans" w:hAnsi="Liberation Sans" w:eastAsia="Liberation Sans"/>
          <w:color w:val="2E2A2C"/>
          <w:sz w:val="20"/>
        </w:rPr>
        <w:t>Führender Begriffsleitfaden der Wirkungsökonomie, Version 1.0.</w:t>
      </w:r>
    </w:p>
    <w:p>
      <w:pPr>
        <w:pStyle w:val="ListBullet"/>
        <w:spacing w:after="60"/>
      </w:pPr>
      <w:r>
        <w:rPr>
          <w:rFonts w:ascii="Liberation Sans" w:hAnsi="Liberation Sans" w:eastAsia="Liberation Sans"/>
          <w:color w:val="2E2A2C"/>
          <w:sz w:val="20"/>
        </w:rPr>
        <w:t>Systemmodell der Wirkungsökonomie.</w:t>
      </w:r>
    </w:p>
    <w:p>
      <w:pPr>
        <w:pStyle w:val="ListBullet"/>
        <w:spacing w:after="60"/>
      </w:pPr>
      <w:r>
        <w:rPr>
          <w:rFonts w:ascii="Liberation Sans" w:hAnsi="Liberation Sans" w:eastAsia="Liberation Sans"/>
          <w:color w:val="2E2A2C"/>
          <w:sz w:val="20"/>
        </w:rPr>
        <w:t>Je nach Bereich: Produktpapier, T-SROI-Whitepaper, WStG, Wirkungsrat-Konzept, Wohnungsmarkt-Working-Paper, Lieferkettenpapier, WUStG-Leitlinien.</w:t>
      </w:r>
    </w:p>
    <w:p>
      <w:pPr>
        <w:pStyle w:val="ListBullet"/>
        <w:spacing w:after="60"/>
      </w:pPr>
      <w:r>
        <w:rPr>
          <w:rFonts w:ascii="Liberation Sans" w:hAnsi="Liberation Sans" w:eastAsia="Liberation Sans"/>
          <w:color w:val="2E2A2C"/>
          <w:sz w:val="20"/>
        </w:rPr>
        <w:t>Externe Anschlussquellen: UN-SDGs, UN-Indikatoren, CSRD/ESRS, EFRAG, GRI, Eurostat, Destatis, EU-Taxonomie, OECD-Leitlinien, soweit fachlich relevant.</w:t>
      </w:r>
    </w:p>
    <w:sectPr w:rsidR="00FC693F" w:rsidRPr="0006063C" w:rsidSect="00034616">
      <w:footerReference w:type="default" r:id="rId9"/>
      <w:pgSz w:w="12240" w:h="15840"/>
      <w:pgMar w:top="1037"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Liberation Sans" w:hAnsi="Liberation Sans" w:eastAsia="Liberation Sans"/>
        <w:color w:val="777777"/>
        <w:sz w:val="16"/>
      </w:rPr>
      <w:t>Wirkungsökonomie - Natalie Weber - öffentliche Arbeitsfassung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Liberation Sans" w:hAnsi="Liberation Sans" w:eastAsia="Liberation Sans"/>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Liberation Serif" w:hAnsi="Liberation Serif" w:eastAsia="Liberation Serif"/>
      <w:b/>
      <w:bCs/>
      <w:color w:val="0B1030"/>
      <w:sz w:val="4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Liberation Serif" w:hAnsi="Liberation Serif" w:eastAsia="Liberation Serif"/>
      <w:b/>
      <w:bCs/>
      <w:color w:val="0B103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Liberation Sans" w:hAnsi="Liberation Sans" w:eastAsia="Liberation Sans"/>
      <w:b/>
      <w:bCs/>
      <w:color w:val="2B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Liberation Serif" w:hAnsi="Liberation Serif" w:eastAsia="Liberation Serif"/>
      <w:b/>
      <w:color w:val="0B1030"/>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woek_impact_controlling_detailkonzepte_umfangreich_v0_2</dc:title>
  <dc:subject>Wirkungsökonomie</dc:subject>
  <dc:creator>Natalie Weber</dc:creator>
  <cp:keywords>Wirkungsökonomie, Natalie Weber, Wirkung statt Kapital, Mensch Planet Demokratie</cp:keywords>
  <dc:description>generated by python-docx</dc:description>
  <cp:lastModifiedBy/>
  <cp:revision>1</cp:revision>
  <dcterms:created xsi:type="dcterms:W3CDTF">2013-12-23T23:15:00Z</dcterms:created>
  <dcterms:modified xsi:type="dcterms:W3CDTF">2013-12-23T23:15:00Z</dcterms:modified>
  <cp:category/>
</cp:coreProperties>
</file>