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B1D30"/>
          <w:sz w:val="34"/>
        </w:rPr>
        <w:t>WIRKUNGSÖKONOMIE</w:t>
      </w:r>
      <w:r>
        <w:rPr>
          <w:rFonts w:ascii="Source Sans 3" w:hAnsi="Source Sans 3"/>
          <w:b/>
          <w:color w:val="C89B3C"/>
          <w:sz w:val="17"/>
        </w:rPr>
        <w:br/>
        <w:t>FÜR MENSCH, PLANET UND DEMOKRATIE</w:t>
      </w:r>
    </w:p>
    <w:p>
      <w:pPr>
        <w:spacing w:before="120" w:after="120"/>
        <w:pBdr>
          <w:bottom w:val="single" w:sz="8" w:space="1" w:color="C89B3C"/>
        </w:pBdr>
      </w:pPr>
    </w:p>
    <w:p>
      <w:pPr>
        <w:pStyle w:val="Heading1"/>
        <w:spacing w:after="120"/>
      </w:pPr>
      <w:r>
        <w:t>Medien, Social Media &amp; Journalismus</w:t>
      </w:r>
    </w:p>
    <w:p>
      <w:r>
        <w:rPr>
          <w:rFonts w:ascii="Source Sans 3" w:hAnsi="Source Sans 3"/>
          <w:color w:val="2E7D5C"/>
          <w:sz w:val="26"/>
        </w:rPr>
        <w:t>Einzeldossier-Set mit Beispielen, Datenquellen, Rechenlogik und Umsetzungsmodulen</w:t>
      </w:r>
    </w:p>
    <w:p>
      <w:r>
        <w:rPr>
          <w:rFonts w:ascii="Source Sans 3" w:hAnsi="Source Sans 3"/>
          <w:b/>
          <w:color w:val="0B1D30"/>
          <w:sz w:val="18"/>
        </w:rPr>
        <w:t xml:space="preserve">Dokumenttyp: </w:t>
      </w:r>
      <w:r>
        <w:rPr>
          <w:rFonts w:ascii="Source Sans 3" w:hAnsi="Source Sans 3"/>
          <w:color w:val="252A30"/>
          <w:sz w:val="18"/>
        </w:rPr>
        <w:t xml:space="preserve">Einzeldossier-Set   </w:t>
      </w:r>
      <w:r>
        <w:rPr>
          <w:rFonts w:ascii="Source Sans 3" w:hAnsi="Source Sans 3"/>
          <w:b/>
          <w:color w:val="0B1D30"/>
          <w:sz w:val="18"/>
        </w:rPr>
        <w:t xml:space="preserve">Autorin: </w:t>
      </w:r>
      <w:r>
        <w:rPr>
          <w:rFonts w:ascii="Source Sans 3" w:hAnsi="Source Sans 3"/>
          <w:color w:val="252A30"/>
          <w:sz w:val="18"/>
        </w:rPr>
        <w:t xml:space="preserve">Natalie Weber   </w:t>
      </w:r>
      <w:r>
        <w:rPr>
          <w:rFonts w:ascii="Source Sans 3" w:hAnsi="Source Sans 3"/>
          <w:b/>
          <w:color w:val="0B1D30"/>
          <w:sz w:val="18"/>
        </w:rPr>
        <w:t xml:space="preserve">Referenz: </w:t>
      </w:r>
      <w:r>
        <w:rPr>
          <w:rFonts w:ascii="Source Sans 3" w:hAnsi="Source Sans 3"/>
          <w:color w:val="252A30"/>
          <w:sz w:val="18"/>
        </w:rPr>
        <w:t xml:space="preserve">Wirkungsökonomie   </w:t>
      </w:r>
      <w:r>
        <w:rPr>
          <w:rFonts w:ascii="Source Sans 3" w:hAnsi="Source Sans 3"/>
          <w:b/>
          <w:color w:val="0B1D30"/>
          <w:sz w:val="18"/>
        </w:rPr>
        <w:t xml:space="preserve">Version: </w:t>
      </w:r>
      <w:r>
        <w:rPr>
          <w:rFonts w:ascii="Source Sans 3" w:hAnsi="Source Sans 3"/>
          <w:color w:val="252A30"/>
          <w:sz w:val="18"/>
        </w:rPr>
        <w:t xml:space="preserve">v0.1   </w:t>
      </w:r>
      <w:r>
        <w:rPr>
          <w:rFonts w:ascii="Source Sans 3" w:hAnsi="Source Sans 3"/>
          <w:b/>
          <w:color w:val="0B1D30"/>
          <w:sz w:val="18"/>
        </w:rPr>
        <w:t xml:space="preserve">Stand: </w:t>
      </w:r>
      <w:r>
        <w:rPr>
          <w:rFonts w:ascii="Source Sans 3" w:hAnsi="Source Sans 3"/>
          <w:color w:val="252A30"/>
          <w:sz w:val="18"/>
        </w:rPr>
        <w:t xml:space="preserve">24. Mai 2026   </w:t>
      </w:r>
      <w:r>
        <w:rPr>
          <w:rFonts w:ascii="Source Sans 3" w:hAnsi="Source Sans 3"/>
          <w:b/>
          <w:color w:val="0B1D30"/>
          <w:sz w:val="18"/>
        </w:rPr>
        <w:t xml:space="preserve">Status: </w:t>
      </w:r>
      <w:r>
        <w:rPr>
          <w:rFonts w:ascii="Source Sans 3" w:hAnsi="Source Sans 3"/>
          <w:color w:val="252A30"/>
          <w:sz w:val="18"/>
        </w:rPr>
        <w:t xml:space="preserve">Diskussionsfassung   </w:t>
      </w:r>
    </w:p>
    <w:tbl>
      <w:tblPr>
        <w:tblW w:type="auto" w:w="0"/>
        <w:jc w:val="center"/>
        <w:tblLook w:firstColumn="1" w:firstRow="1" w:lastColumn="0" w:lastRow="0" w:noHBand="0" w:noVBand="1" w:val="04A0"/>
      </w:tblPr>
      <w:tblGrid>
        <w:gridCol w:w="9936"/>
      </w:tblGrid>
      <w:tr>
        <w:tc>
          <w:tcPr>
            <w:tcW w:type="dxa" w:w="9936"/>
            <w:shd w:fill="F6F1E8"/>
            <w:tcBorders>
              <w:top w:val="single" w:sz="4" w:space="0" w:color="D9D5CC"/>
              <w:left w:val="single" w:sz="4" w:space="0" w:color="D9D5CC"/>
              <w:bottom w:val="single" w:sz="4" w:space="0" w:color="D9D5CC"/>
              <w:right w:val="single" w:sz="4" w:space="0" w:color="D9D5CC"/>
            </w:tcBorders>
          </w:tcPr>
          <w:p>
            <w:r>
              <w:rPr>
                <w:b/>
                <w:color w:val="2E7D5C"/>
              </w:rPr>
              <w:t xml:space="preserve">Leitgedanke: </w:t>
            </w:r>
            <w:r>
              <w:t>Öffentlichkeit ist kein bloßer Marktplatz der Aufmerksamkeit. Sie ist die Rückkopplungsinfrastruktur der Demokratie. Medien, Plattformen, Sprache und Algorithmen wirken auf Vertrauen, Orientierung, Konfliktfähigkeit und gesellschaftliche Stabilität.</w:t>
            </w:r>
          </w:p>
        </w:tc>
      </w:tr>
    </w:tbl>
    <w:p/>
    <w:p>
      <w:pPr>
        <w:pStyle w:val="Heading2"/>
      </w:pPr>
      <w:r>
        <w:t>Inhaltsübersicht</w:t>
      </w:r>
    </w:p>
    <w:p>
      <w:pPr>
        <w:spacing w:after="20"/>
        <w:ind w:left="216"/>
      </w:pPr>
      <w:r>
        <w:t>1. Dossier: Öffentlichkeit als Wirkungsraum</w:t>
      </w:r>
    </w:p>
    <w:p>
      <w:pPr>
        <w:spacing w:after="20"/>
        <w:ind w:left="216"/>
      </w:pPr>
      <w:r>
        <w:t>2. Dossier: Journalismus: Wirkung statt Klicks</w:t>
      </w:r>
    </w:p>
    <w:p>
      <w:pPr>
        <w:spacing w:after="20"/>
        <w:ind w:left="216"/>
      </w:pPr>
      <w:r>
        <w:t>3. Dossier: Medienqualität und redaktionelle Verantwortung</w:t>
      </w:r>
    </w:p>
    <w:p>
      <w:pPr>
        <w:spacing w:after="20"/>
        <w:ind w:left="216"/>
      </w:pPr>
      <w:r>
        <w:t>4. Dossier: Plattformen, Algorithmen und Reichweitenlogik</w:t>
      </w:r>
    </w:p>
    <w:p>
      <w:pPr>
        <w:spacing w:after="20"/>
        <w:ind w:left="216"/>
      </w:pPr>
      <w:r>
        <w:t>5. Dossier: Creator:innen, Hosts und Influencer-Verantwortung</w:t>
      </w:r>
    </w:p>
    <w:p>
      <w:pPr>
        <w:spacing w:after="20"/>
        <w:ind w:left="216"/>
      </w:pPr>
      <w:r>
        <w:t>6. Dossier: Sprache, Framing und Diskurskultur</w:t>
      </w:r>
    </w:p>
    <w:p>
      <w:pPr>
        <w:spacing w:after="20"/>
        <w:ind w:left="216"/>
      </w:pPr>
      <w:r>
        <w:t>7. Dossier: Desinformation, Fake News, Deepfakes und hybride Einflussnahme</w:t>
      </w:r>
    </w:p>
    <w:p>
      <w:pPr>
        <w:spacing w:after="20"/>
        <w:ind w:left="216"/>
      </w:pPr>
      <w:r>
        <w:t>8. Dossier: Politische Kommunikation, Wahlwerbung und Microtargeting</w:t>
      </w:r>
    </w:p>
    <w:p>
      <w:pPr>
        <w:spacing w:after="20"/>
        <w:ind w:left="216"/>
      </w:pPr>
      <w:r>
        <w:t>9. Dossier: Öffentlich-rechtliche digitale Infrastruktur und Agentur für Digitale Öffentlichkeit</w:t>
      </w:r>
    </w:p>
    <w:p>
      <w:pPr>
        <w:spacing w:after="20"/>
        <w:ind w:left="216"/>
      </w:pPr>
      <w:r>
        <w:t>10. Dossier: Medienwirkungsindex, WÖk-IDs und Scorecards</w:t>
      </w:r>
    </w:p>
    <w:p>
      <w:pPr>
        <w:spacing w:after="20"/>
        <w:ind w:left="216"/>
      </w:pPr>
      <w:r>
        <w:t>11. Dossier: Digitale Selbstbestimmung, Datenschutz und Jugendschutz</w:t>
      </w:r>
    </w:p>
    <w:p>
      <w:pPr>
        <w:spacing w:after="20"/>
        <w:ind w:left="216"/>
      </w:pPr>
      <w:r>
        <w:t>12. Dossier: Politische Anschlussfähigkeit und Umsetzungsoptionen</w:t>
      </w:r>
    </w:p>
    <w:p>
      <w:pPr>
        <w:pStyle w:val="Heading2"/>
      </w:pPr>
      <w:r>
        <w:t>Dossier 1: Öffentlichkeit als Wirkungsraum</w:t>
      </w:r>
    </w:p>
    <w:p>
      <w:pPr>
        <w:spacing w:after="100" w:line="252" w:lineRule="auto"/>
      </w:pPr>
      <w:r>
        <w:t>Öffentlichkeit ist die Rückkopplungsinfrastruktur der Demokratie. Sie ermöglicht einer Gesellschaft, Wirklichkeit wahrzunehmen, zu prüfen, zu deuten, zu korrigieren und gemeinsam handlungsfähig zu bleiben.</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Öffentlichkeit als Wirkungsraum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2: Journalismus: Wirkung statt Klicks</w:t>
      </w:r>
    </w:p>
    <w:p>
      <w:pPr>
        <w:spacing w:after="100" w:line="252" w:lineRule="auto"/>
      </w:pPr>
      <w:r>
        <w:t>Journalismus ist eine Wirkleistung, wenn er Macht kontrolliert, Zusammenhänge erklärt, Fakten prüft, Korrektur ermöglicht und Öffentlichkeit orientiert.</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Journalismus: Wirkung statt Klicks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3: Medienqualität und redaktionelle Verantwortung</w:t>
      </w:r>
    </w:p>
    <w:p>
      <w:pPr>
        <w:spacing w:after="100" w:line="252" w:lineRule="auto"/>
      </w:pPr>
      <w:r>
        <w:t>Medienqualität ist keine Geschmacksfrage. Sie beschreibt prüfbare Strukturen: Quellenklarheit, Korrekturen, Trennung von Nachricht und Meinung, Eigentumstransparenz, Interessenkonflikte und redaktionelle Unabhängigkeit.</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Medienqualität und redaktionelle Verantwortung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4: Plattformen, Algorithmen und Reichweitenlogik</w:t>
      </w:r>
    </w:p>
    <w:p>
      <w:pPr>
        <w:spacing w:after="100" w:line="252" w:lineRule="auto"/>
      </w:pPr>
      <w:r>
        <w:t>Plattformen sind nicht nur technische Vermittler. Ihre Empfehlungs-, Ranking- und Werbelogiken prägen, welche Wirklichkeit sichtbar wird.</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Plattformen, Algorithmen und Reichweitenlogik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5: Creator:innen, Hosts und Influencer-Verantwortung</w:t>
      </w:r>
    </w:p>
    <w:p>
      <w:pPr>
        <w:spacing w:after="100" w:line="252" w:lineRule="auto"/>
      </w:pPr>
      <w:r>
        <w:t>Creator:innen und Hosts können journalistische, politische, kulturelle oder kommerzielle Wirkung erzeugen. Je größer die öffentliche Reichweite, desto stärker wird Quellenklarheit, Korrektur und Verantwortung relevant.</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Creator:innen, Hosts und Influencer-Verantwortung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6: Sprache, Framing und Diskurskultur</w:t>
      </w:r>
    </w:p>
    <w:p>
      <w:pPr>
        <w:spacing w:after="100" w:line="252" w:lineRule="auto"/>
      </w:pPr>
      <w:r>
        <w:t>Sprache wirkt, bevor Maßnahmen beschlossen werden. Begriffe öffnen Resonanzräume: Angst, Würde, Vertrauen, Feindbild, Verantwortung, Solidarität oder Spaltung.</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Sprache, Framing und Diskurskultur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7: Desinformation, Fake News, Deepfakes und hybride Einflussnahme</w:t>
      </w:r>
    </w:p>
    <w:p>
      <w:pPr>
        <w:spacing w:after="100" w:line="252" w:lineRule="auto"/>
      </w:pPr>
      <w:r>
        <w:t>Desinformation ist nicht nur falscher Inhalt. Sie ist eine Strategie der Wirkungsraumveränderung: Vertrauen schwächen, Realität verunklären, Konfliktlinien verstärken, Korrekturmechanismen zerstören.</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Desinformation, Fake News, Deepfakes und hybride Einflussnahme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8: Politische Kommunikation, Wahlwerbung und Microtargeting</w:t>
      </w:r>
    </w:p>
    <w:p>
      <w:pPr>
        <w:spacing w:after="100" w:line="252" w:lineRule="auto"/>
      </w:pPr>
      <w:r>
        <w:t>Politische Kommunikation ist legitim und notwendig. Wirkungsökonomisch problematisch wird sie, wenn sie Intransparenz, verdeckte Finanzierung, manipulative Zielgruppenansprache oder asymmetrische Informationsräume nutzt.</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Politische Kommunikation, Wahlwerbung und Microtargeting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9: Öffentlich-rechtliche digitale Infrastruktur und Agentur für Digitale Öffentlichkeit</w:t>
      </w:r>
    </w:p>
    <w:p>
      <w:pPr>
        <w:spacing w:after="100" w:line="252" w:lineRule="auto"/>
      </w:pPr>
      <w:r>
        <w:t>Die Wirkungsökonomie denkt digitale Öffentlichkeit nicht nur als Plattformmarkt, sondern als öffentliche Infrastruktur. Dazu gehören werbefreie, transparente, pluralistische und wissenschaftlich anschlussfähige Räume sowie unabhängige Aufsicht.</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Öffentlich-rechtliche digitale Infrastruktur und Agentur für Digitale Öffentlichkeit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10: Medienwirkungsindex, WÖk-IDs und Scorecards</w:t>
      </w:r>
    </w:p>
    <w:p>
      <w:pPr>
        <w:spacing w:after="100" w:line="252" w:lineRule="auto"/>
      </w:pPr>
      <w:r>
        <w:t>Der Medienwirkungsindex (MWI) übersetzt qualitative öffentliche Wirkung in prüfbare Bewertungsdimensionen. Er bleibt ein Reflexions- und Steuerungsinstrument, keine zentrale Wahrheitsinstanz.</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Medienwirkungsindex, WÖk-IDs und Scorecards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11: Digitale Selbstbestimmung, Datenschutz und Jugendschutz</w:t>
      </w:r>
    </w:p>
    <w:p>
      <w:pPr>
        <w:spacing w:after="100" w:line="252" w:lineRule="auto"/>
      </w:pPr>
      <w:r>
        <w:t>Medienwirkung entsteht auch durch Datenarchitektur. Tracking, Profiling, Sucht-Design, manipulative Interfaces und Minderjährigenschutz gehören zur öffentlichen Wirkungsbewertung.</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Digitale Selbstbestimmung, Datenschutz und Jugendschutz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p>
      <w:r>
        <w:br w:type="page"/>
      </w:r>
    </w:p>
    <w:p>
      <w:pPr>
        <w:pStyle w:val="Heading2"/>
      </w:pPr>
      <w:r>
        <w:t>Dossier 12: Politische Anschlussfähigkeit und Umsetzungsoptionen</w:t>
      </w:r>
    </w:p>
    <w:p>
      <w:pPr>
        <w:spacing w:after="100" w:line="252" w:lineRule="auto"/>
      </w:pPr>
      <w:r>
        <w:t>Dieses Wirkungsfeld braucht politisch offene Umsetzung: Medienfreiheit, Meinungsfreiheit, Plattformverantwortung, Datenschutz, Wettbewerbsrecht, Jugend- und Demokratie-Schutz müssen austariert werden.</w:t>
      </w:r>
    </w:p>
    <w:p>
      <w:pPr>
        <w:spacing w:after="100" w:line="252" w:lineRule="auto"/>
      </w:pPr>
      <w:r>
        <w:t>Dieses Einzeldossier konkretisiert den Unterbereich für die Website, die Arbeitsbibliothek und mögliche Tools. Es enthält eine operative Lesart, Datenquellen, Beispielrechnungen und politische Anschlussfähigkeit. Das Dossier ist öffentlich nutzbar und enthält keine internen Umsetzungsanweisungen.</w:t>
      </w:r>
    </w:p>
    <w:p>
      <w:pPr>
        <w:pStyle w:val="Heading3"/>
      </w:pPr>
      <w:r>
        <w:t>Beispielhafte Anwendungsfälle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Anwendungsfall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Prüfpfad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Medienbeitrag / Posting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oder schwächt der Beitrag Quellenklarheit, Kontext und Diskursfähigkeit?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MWI-Kurzscore, Quellencheck, Framinganalyse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Plattformfunktion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Welche Inhalte werden durch Design und Algorithmus verstärkt?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 DSA-Daten, Forscherzugang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Kampagne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Finanzierung, Targeting, KI-Einsatz und Interessenkonflikte sichtbar?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Ad-Repository, Transparenzhinweis, Targetingprüfung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Desinformationsfall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Wie stark sind Täuschung, Koordination, Reichweite und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Desinformations-Risikomatrix, Faktencheck, Netzwerkdaten</w:t>
            </w:r>
          </w:p>
        </w:tc>
      </w:tr>
    </w:tbl>
    <w:p/>
    <w:p>
      <w:pPr>
        <w:pStyle w:val="Heading3"/>
      </w:pPr>
      <w:r>
        <w:t>Datenquellen</w:t>
      </w:r>
    </w:p>
    <w:p>
      <w:pPr>
        <w:pStyle w:val="ListBullet"/>
        <w:spacing w:after="40"/>
      </w:pPr>
      <w:r>
        <w:t>Öffentliche Quellen und Transparenzberichte</w:t>
      </w:r>
    </w:p>
    <w:p>
      <w:pPr>
        <w:pStyle w:val="ListBullet"/>
        <w:spacing w:after="40"/>
      </w:pPr>
      <w:r>
        <w:t>DSA-Ad-Repository und politische Werbetransparenz</w:t>
      </w:r>
    </w:p>
    <w:p>
      <w:pPr>
        <w:pStyle w:val="ListBullet"/>
        <w:spacing w:after="40"/>
      </w:pPr>
      <w:r>
        <w:t>Redaktionelle Korrektur- und Quellenangaben</w:t>
      </w:r>
    </w:p>
    <w:p>
      <w:pPr>
        <w:pStyle w:val="ListBullet"/>
        <w:spacing w:after="40"/>
      </w:pPr>
      <w:r>
        <w:t>Faktencheck- und EDMO-Daten</w:t>
      </w:r>
    </w:p>
    <w:p>
      <w:pPr>
        <w:pStyle w:val="ListBullet"/>
        <w:spacing w:after="40"/>
      </w:pPr>
      <w:r>
        <w:t>Medienpluralismusdaten</w:t>
      </w:r>
    </w:p>
    <w:p>
      <w:pPr>
        <w:pStyle w:val="ListBullet"/>
        <w:spacing w:after="40"/>
      </w:pPr>
      <w:r>
        <w:t>Wissenschaftliche Inhalts- und Netzwerkforschung</w:t>
      </w:r>
    </w:p>
    <w:p>
      <w:pPr>
        <w:pStyle w:val="ListBullet"/>
        <w:spacing w:after="40"/>
      </w:pPr>
      <w:r>
        <w:t>Aggregierte Plattformdaten mit Datenschutz</w:t>
      </w:r>
    </w:p>
    <w:p>
      <w:pPr>
        <w:pStyle w:val="Heading3"/>
      </w:pPr>
      <w:r>
        <w:t>Modellhafte Berechnungslogik</w:t>
      </w:r>
    </w:p>
    <w:p>
      <w:pPr>
        <w:spacing w:after="100" w:line="252" w:lineRule="auto"/>
      </w:pPr>
      <w:r>
        <w:t>Die Bewertung erfolgt grundsätzlich auf einer Skala von -3 bis +3. Die Dimensionen Quellenklarheit, Faktenintegrität, Kontextqualität, Pluralität, Diskursverträglichkeit, Korrekturfähigkeit, KI-/Manipulationstransparenz und Reichweitenverantwortung werden gewichtet. Rote Linien greifen bei gezielter Täuschung, nicht gekennzeichneten Deepfakes mit öffentlichem Schadenspotenzial, entmenschlichenden Gewaltaufrufen, verdeckter politischer Finanzierung oder koordinierter Manipulation.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Gewichtung v0.1</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Kurzprüfung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 spricht, mit welcher Quelle und welchem Interesse?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16 %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geprüft und korrekt?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14 %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Wird Komplexität verständlich eingeordnet?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Ermöglicht der Beitrag Streit ohne Entmenschlichung?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10 %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Fehler sichtbar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8 %</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Werbung, Targeting oder Bots erkennbar?</w:t>
            </w:r>
          </w:p>
        </w:tc>
      </w:tr>
    </w:tbl>
    <w:p/>
    <w:p>
      <w:pPr>
        <w:pStyle w:val="Heading3"/>
      </w:pPr>
      <w:r>
        <w:t>Wirkungsökonomische Einordnung</w:t>
      </w:r>
    </w:p>
    <w:p>
      <w:pPr>
        <w:spacing w:after="100" w:line="252" w:lineRule="auto"/>
      </w:pPr>
      <w:r>
        <w:t>Der Unterbereich Politische Anschlussfähigkeit und Umsetzungsoptionen ist wirkungsökonomisch relevant, weil er bestimmt, welche Wirklichkeit öffentlich wahrgenommen wird. Eine Gesellschaft kann nur dann wirksam handeln, wenn ihre Informationsräume nicht systematisch verzerrt, manipuliert oder privatisiert werden. Der Maßstab bleibt positive Netto-Wirkung für Mensch, Planet und Demokratie.</w:t>
      </w:r>
    </w:p>
    <w:p>
      <w:pPr>
        <w:pStyle w:val="Heading3"/>
      </w:pPr>
      <w:r>
        <w:t>Politische Anschlussfähigkeit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Umsetzungsspielraum</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bl>
    <w:p/>
    <w:sectPr w:rsidR="00FC693F" w:rsidRPr="0006063C" w:rsidSect="00034616">
      <w:headerReference w:type="default" r:id="rId9"/>
      <w:footerReference w:type="default" r:id="rId10"/>
      <w:pgSz w:w="12240" w:h="15840"/>
      <w:pgMar w:top="108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F7275"/>
        <w:sz w:val="16"/>
      </w:rPr>
      <w:t>© 2026 Natalie Weber · Wirkungsökonomie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6F7275"/>
        <w:sz w:val="16"/>
      </w:rPr>
      <w:t>Wirkungsökonomie | Für Mensch, Planet und Demokratie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eastAsia="Source Sans 3"/>
      <w:color w:val="252A3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eastAsia="Playfair Display"/>
      <w:b/>
      <w:bCs/>
      <w:color w:val="0B1D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eastAsia="Playfair Display"/>
      <w:b/>
      <w:bCs/>
      <w:color w:val="0B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eastAsia="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eastAsia="Source Sans 3"/>
      <w:b/>
      <w:bCs/>
      <w:i/>
      <w:iCs/>
      <w:color w:val="2E7D5C"/>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Source Sans 3" w:hAnsi="Source Sans 3" w:eastAsia="Source Sans 3"/>
      <w:color w:val="252A30"/>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