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B1D30"/>
          <w:sz w:val="34"/>
        </w:rPr>
        <w:t>WIRKUNGSÖKONOMIE</w:t>
      </w:r>
      <w:r>
        <w:rPr>
          <w:rFonts w:ascii="Source Sans 3" w:hAnsi="Source Sans 3"/>
          <w:b/>
          <w:color w:val="C89B3C"/>
          <w:sz w:val="17"/>
        </w:rPr>
        <w:br/>
        <w:t>FÜR MENSCH, PLANET UND DEMOKRATIE</w:t>
      </w:r>
    </w:p>
    <w:p>
      <w:pPr>
        <w:spacing w:before="120" w:after="120"/>
        <w:pBdr>
          <w:bottom w:val="single" w:sz="8" w:space="1" w:color="C89B3C"/>
        </w:pBdr>
      </w:pPr>
    </w:p>
    <w:p>
      <w:pPr>
        <w:pStyle w:val="Heading1"/>
        <w:spacing w:after="120"/>
      </w:pPr>
      <w:r>
        <w:t>Medien, Social Media &amp; Journalismus</w:t>
      </w:r>
    </w:p>
    <w:p>
      <w:r>
        <w:rPr>
          <w:rFonts w:ascii="Source Sans 3" w:hAnsi="Source Sans 3"/>
          <w:color w:val="2E7D5C"/>
          <w:sz w:val="26"/>
        </w:rPr>
        <w:t>Gesamtdossier mit Beispielen, Bewertungslogik, Datenquellen, Tool-Suite und Umsetzungsoptionen</w:t>
      </w:r>
    </w:p>
    <w:p>
      <w:r>
        <w:rPr>
          <w:rFonts w:ascii="Source Sans 3" w:hAnsi="Source Sans 3"/>
          <w:b/>
          <w:color w:val="0B1D30"/>
          <w:sz w:val="18"/>
        </w:rPr>
        <w:t xml:space="preserve">Dokumenttyp: </w:t>
      </w:r>
      <w:r>
        <w:rPr>
          <w:rFonts w:ascii="Source Sans 3" w:hAnsi="Source Sans 3"/>
          <w:color w:val="252A30"/>
          <w:sz w:val="18"/>
        </w:rPr>
        <w:t xml:space="preserve">Gesamtdossier   </w:t>
      </w:r>
      <w:r>
        <w:rPr>
          <w:rFonts w:ascii="Source Sans 3" w:hAnsi="Source Sans 3"/>
          <w:b/>
          <w:color w:val="0B1D30"/>
          <w:sz w:val="18"/>
        </w:rPr>
        <w:t xml:space="preserve">Autorin: </w:t>
      </w:r>
      <w:r>
        <w:rPr>
          <w:rFonts w:ascii="Source Sans 3" w:hAnsi="Source Sans 3"/>
          <w:color w:val="252A30"/>
          <w:sz w:val="18"/>
        </w:rPr>
        <w:t xml:space="preserve">Natalie Weber   </w:t>
      </w:r>
      <w:r>
        <w:rPr>
          <w:rFonts w:ascii="Source Sans 3" w:hAnsi="Source Sans 3"/>
          <w:b/>
          <w:color w:val="0B1D30"/>
          <w:sz w:val="18"/>
        </w:rPr>
        <w:t xml:space="preserve">Referenz: </w:t>
      </w:r>
      <w:r>
        <w:rPr>
          <w:rFonts w:ascii="Source Sans 3" w:hAnsi="Source Sans 3"/>
          <w:color w:val="252A30"/>
          <w:sz w:val="18"/>
        </w:rPr>
        <w:t xml:space="preserve">Wirkungsökonomie   </w:t>
      </w:r>
      <w:r>
        <w:rPr>
          <w:rFonts w:ascii="Source Sans 3" w:hAnsi="Source Sans 3"/>
          <w:b/>
          <w:color w:val="0B1D30"/>
          <w:sz w:val="18"/>
        </w:rPr>
        <w:t xml:space="preserve">Version: </w:t>
      </w:r>
      <w:r>
        <w:rPr>
          <w:rFonts w:ascii="Source Sans 3" w:hAnsi="Source Sans 3"/>
          <w:color w:val="252A30"/>
          <w:sz w:val="18"/>
        </w:rPr>
        <w:t xml:space="preserve">v0.1   </w:t>
      </w:r>
      <w:r>
        <w:rPr>
          <w:rFonts w:ascii="Source Sans 3" w:hAnsi="Source Sans 3"/>
          <w:b/>
          <w:color w:val="0B1D30"/>
          <w:sz w:val="18"/>
        </w:rPr>
        <w:t xml:space="preserve">Stand: </w:t>
      </w:r>
      <w:r>
        <w:rPr>
          <w:rFonts w:ascii="Source Sans 3" w:hAnsi="Source Sans 3"/>
          <w:color w:val="252A30"/>
          <w:sz w:val="18"/>
        </w:rPr>
        <w:t xml:space="preserve">24. Mai 2026   </w:t>
      </w:r>
      <w:r>
        <w:rPr>
          <w:rFonts w:ascii="Source Sans 3" w:hAnsi="Source Sans 3"/>
          <w:b/>
          <w:color w:val="0B1D30"/>
          <w:sz w:val="18"/>
        </w:rPr>
        <w:t xml:space="preserve">Status: </w:t>
      </w:r>
      <w:r>
        <w:rPr>
          <w:rFonts w:ascii="Source Sans 3" w:hAnsi="Source Sans 3"/>
          <w:color w:val="252A30"/>
          <w:sz w:val="18"/>
        </w:rPr>
        <w:t xml:space="preserve">Diskussionsfassung   </w:t>
      </w:r>
    </w:p>
    <w:tbl>
      <w:tblPr>
        <w:tblW w:type="auto" w:w="0"/>
        <w:jc w:val="center"/>
        <w:tblLook w:firstColumn="1" w:firstRow="1" w:lastColumn="0" w:lastRow="0" w:noHBand="0" w:noVBand="1" w:val="04A0"/>
      </w:tblPr>
      <w:tblGrid>
        <w:gridCol w:w="9936"/>
      </w:tblGrid>
      <w:tr>
        <w:tc>
          <w:tcPr>
            <w:tcW w:type="dxa" w:w="9936"/>
            <w:shd w:fill="F6F1E8"/>
            <w:tcBorders>
              <w:top w:val="single" w:sz="4" w:space="0" w:color="D9D5CC"/>
              <w:left w:val="single" w:sz="4" w:space="0" w:color="D9D5CC"/>
              <w:bottom w:val="single" w:sz="4" w:space="0" w:color="D9D5CC"/>
              <w:right w:val="single" w:sz="4" w:space="0" w:color="D9D5CC"/>
            </w:tcBorders>
          </w:tcPr>
          <w:p>
            <w:r>
              <w:rPr>
                <w:b/>
                <w:color w:val="2E7D5C"/>
              </w:rPr>
              <w:t xml:space="preserve">Leitgedanke: </w:t>
            </w:r>
            <w:r>
              <w:t>Öffentlichkeit ist kein bloßer Marktplatz der Aufmerksamkeit. Sie ist die Rückkopplungsinfrastruktur der Demokratie. Medien, Plattformen, Sprache und Algorithmen wirken auf Vertrauen, Orientierung, Konfliktfähigkeit und gesellschaftliche Stabilität.</w:t>
            </w:r>
          </w:p>
        </w:tc>
      </w:tr>
    </w:tbl>
    <w:p/>
    <w:p>
      <w:pPr>
        <w:pStyle w:val="Heading2"/>
      </w:pPr>
      <w:r>
        <w:t>Inhaltsübersicht</w:t>
      </w:r>
    </w:p>
    <w:p>
      <w:pPr>
        <w:spacing w:after="20"/>
        <w:ind w:left="216"/>
      </w:pPr>
      <w:r>
        <w:t>1. Zweck des Dossiers</w:t>
      </w:r>
    </w:p>
    <w:p>
      <w:pPr>
        <w:spacing w:after="20"/>
        <w:ind w:left="216"/>
      </w:pPr>
      <w:r>
        <w:t>2. Beispielräume</w:t>
      </w:r>
    </w:p>
    <w:p>
      <w:pPr>
        <w:spacing w:after="20"/>
        <w:ind w:left="216"/>
      </w:pPr>
      <w:r>
        <w:t>3. Medienwirkungsindex MWI</w:t>
      </w:r>
    </w:p>
    <w:p>
      <w:pPr>
        <w:spacing w:after="20"/>
        <w:ind w:left="216"/>
      </w:pPr>
      <w:r>
        <w:t>4. Beispielrechnungen</w:t>
      </w:r>
    </w:p>
    <w:p>
      <w:pPr>
        <w:spacing w:after="20"/>
        <w:ind w:left="216"/>
      </w:pPr>
      <w:r>
        <w:t>5. Datenquellen</w:t>
      </w:r>
    </w:p>
    <w:p>
      <w:pPr>
        <w:spacing w:after="20"/>
        <w:ind w:left="216"/>
      </w:pPr>
      <w:r>
        <w:t>6. Tool-Suite</w:t>
      </w:r>
    </w:p>
    <w:p>
      <w:pPr>
        <w:spacing w:after="20"/>
        <w:ind w:left="216"/>
      </w:pPr>
      <w:r>
        <w:t>7. Politische Umsetzung</w:t>
      </w:r>
    </w:p>
    <w:p>
      <w:pPr>
        <w:spacing w:after="20"/>
        <w:ind w:left="216"/>
      </w:pPr>
      <w:r>
        <w:t>8. Quellen</w:t>
      </w:r>
    </w:p>
    <w:p>
      <w:pPr>
        <w:pStyle w:val="Heading2"/>
      </w:pPr>
      <w:r>
        <w:t>1. Zweck des Dossiers</w:t>
      </w:r>
    </w:p>
    <w:p>
      <w:pPr>
        <w:spacing w:after="100" w:line="252" w:lineRule="auto"/>
      </w:pPr>
      <w:r>
        <w:t>Dieses Dossier übersetzt das Konzept Medien, Social Media und Journalismus in anwendbare Prüf- und Handlungsmodule. Es richtet sich an Redaktionen, Plattformen, Creator:innen, Medienaufsicht, Bildungseinrichtungen, Politik, Zivilgesellschaft und Forschung. Es zeigt, wie öffentliche Wirkung modellhaft bewertet werden kann, ohne Meinungen zu bewerten oder demokratischen Streit zu ersetzen.</w:t>
      </w:r>
    </w:p>
    <w:p>
      <w:pPr>
        <w:spacing w:after="100" w:line="252" w:lineRule="auto"/>
      </w:pPr>
      <w:r>
        <w:t>Das Dossier ist keine Architektur für automatisierte Sperrentscheidungen. Es beschreibt ein Wirkungssystem, das Infrastruktur, Reichweite, Quellen, Transparenz, Manipulationsrisiken und Korrekturwege prüft. Eine demokratische Gesellschaft braucht Streit. Sie braucht aber auch die Fähigkeit, Streit auf einer geteilten, überprüfbaren Wirklichkeitsbasis zu führen.</w:t>
      </w:r>
    </w:p>
    <w:p>
      <w:pPr>
        <w:pStyle w:val="Heading2"/>
      </w:pPr>
      <w:r>
        <w:t>2. Beispielräume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Fall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Wirkungsprofil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Modellhafte MWI-Spanne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Investigativer Artikel zu Korruption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Hohe Quellenklarheit, starke Korrekturwirkung, mögliches Rechtsrisiko, hoher demokratischer Nutzen.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+2,3 bis +3,0</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Rage-Bait-Video ohne Quellen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Hohe Aktivierung, geringe Kontextqualität, polarisierender Frame, unklare Faktenbasis.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 bis -2,2</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KI-generierter Deepfake eines Politikers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Täuschungsrisiko, hoher Manipulationsgrad, potenziell wahlrelevant, Kennzeichnung fehlt.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-3,0 rote Linie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Anzeige mit transparentem Sponsor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Legitime politische Kommunikation, wenn Finanzierung, Targeting und Interessen transparent sind.</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0 bis +1,0</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Erklärvideo zu komplexer Reform</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Hohe Kontextqualität, moderate Reichweite, hohe Bildungswirkung, geringe Manipulation.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+1,5 bis +2,5</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Influencer-Werbung ohne 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Kommerzielle Beeinflussung, unklare Interessen, Vertrauensrisiko.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-0,8 bis -1,8</w:t>
            </w:r>
          </w:p>
        </w:tc>
      </w:tr>
    </w:tbl>
    <w:p/>
    <w:p>
      <w:pPr>
        <w:pStyle w:val="Heading2"/>
      </w:pPr>
      <w:r>
        <w:t>3. Medienwirkungsindex MWI</w:t>
      </w:r>
    </w:p>
    <w:p>
      <w:pPr>
        <w:spacing w:after="100" w:line="252" w:lineRule="auto"/>
      </w:pPr>
      <w:r>
        <w:t>Der MWI ist eine modellhafte Bewertungslogik von -3 bis +3. Er kann für Medienbeiträge, Formate, Plattformlogiken, Kampagnen oder Kommunikationsräume genutzt werden. Die Bewertung bleibt kontextabhängig und muss transparent dokumentieren, welche Daten, Annahmen und Grenzen vorliegen.</w:t>
      </w:r>
    </w:p>
    <w:p>
      <w:pPr>
        <w:spacing w:after="100" w:line="252" w:lineRule="auto"/>
      </w:pPr>
      <w:r>
        <w:t>Vorschlag für eine Arbeitsmatrix v0.1:</w:t>
        <w:br/>
        <w:t>MWI = 0,18 Quellenklarheit + 0,16 Faktenintegrität + 0,14 Kontextqualität + 0,12 Pluralität + 0,12 Diskursverträglichkeit + 0,10 Korrekturfähigkeit + 0,08 KI-/Manipulationstransparenz + 0,06 Reichweitenverantwortung + 0,04 Zugänglichkeit/Barrierefreiheit.</w:t>
      </w:r>
    </w:p>
    <w:p>
      <w:pPr>
        <w:spacing w:after="100" w:line="252" w:lineRule="auto"/>
      </w:pPr>
      <w:r>
        <w:t>Die Reverse Merit Order greift, wenn rote Linien betroffen sind: Täuschung durch Deepfake ohne Kennzeichnung, koordinierte Desinformation, entmenschlichende Gewaltaufrufe, verdeckte politische Finanzierung, systematische Manipulation von Minderjährigen oder algorithmische Verstärkung gefährlicher Falschinformation. In diesen Fällen kann ein guter Durchschnittswert die Einstufung nicht retten.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Messfrage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Scorehinweis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Herkunft, Belege, Interessen und Autorenschaft nachvollziehbar?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anonym manipulativ / 0 unklar / +3 transparent und prüfbar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zentrale Tatsachen überprüft und korrekt eingeordnet?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falsch/täuschend / 0 ungeprüft / +3 geprüft und korrigierbar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Werden Ursachen, Grenzen, Unsicherheiten und Zielkonflikte erklärt?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verzerrend / 0 fragmentarisch / +3 kontextreich</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Werden relevante Perspektiven sichtbar, ohne False Balance zu erzeugen?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einseitig manipulierend / 0 begrenzt / +3 plural und fair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Stärkt die Kommunikation Streitfähigkeit oder entmenschlicht sie?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hetzend / 0 neutral / +3 klärend</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Gibt es sichtbare Korrekturen, Updates, Gegendarstellungen?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keine Korrektur / 0 unklar / +3 lernfähig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KI-/Manipulationstransparenz</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Sind KI, Bots, Deepfakes, Targeting und Werbung erkennbar?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verdeckt / 0 teilweise / +3 klar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Reichweitenverantwortung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Passt Verantwortung zur Reichweite und zum Schadenspotenzial?</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viral verantwortungslos / 0 unklar / +3 proportional</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Zugänglichkeit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Ist Information verständlich, barrierearm und nicht ausschließend?</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 ausschließend / 0 begrenzt / +3 zugänglich</w:t>
            </w:r>
          </w:p>
        </w:tc>
      </w:tr>
    </w:tbl>
    <w:p/>
    <w:p>
      <w:pPr>
        <w:pStyle w:val="Heading2"/>
      </w:pPr>
      <w:r>
        <w:t>4. Beispielrechnungen</w:t>
      </w:r>
    </w:p>
    <w:p>
      <w:pPr>
        <w:spacing w:after="100" w:line="252" w:lineRule="auto"/>
      </w:pPr>
      <w:r>
        <w:t>Die folgenden Beispielrechnungen sind modellhaft. Sie dienen der Veranschaulichung und ersetzen keine rechtsverbindliche oder amtliche Einstufung.</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Dimension</w:t>
            </w:r>
          </w:p>
        </w:tc>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Investigativer Artikel</w:t>
            </w:r>
          </w:p>
        </w:tc>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Rage-Bait-Clip</w:t>
            </w:r>
          </w:p>
        </w:tc>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Deepfake ohne Kennzeichnung</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Faktenintegrität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Kontextqualität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Pluralität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Diskursverträglichkeit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Korrekturfähigkeit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KI-/Manipulationstransparenz</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0</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Reichweitenverantwortung</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Zugänglichkeit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Ergebnis</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+2,0</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-1,2</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-3,0 rote Linie</w:t>
            </w:r>
          </w:p>
        </w:tc>
      </w:tr>
    </w:tbl>
    <w:p/>
    <w:p>
      <w:pPr>
        <w:pStyle w:val="Heading2"/>
      </w:pPr>
      <w:r>
        <w:t>5. Datenquellen und Vertrauensstufen</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Quelle</w:t>
            </w:r>
          </w:p>
        </w:tc>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Datenart</w:t>
            </w:r>
          </w:p>
        </w:tc>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Vertrauensstufe</w:t>
            </w:r>
          </w:p>
        </w:tc>
        <w:tc>
          <w:tcPr>
            <w:tcW w:type="dxa" w:w="2484"/>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Nutzung im MWI</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Redaktionelle Selbstauskunft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Korrekturprozesse, Eigentum, Finanzierung</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mittel</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Nur mit Plausibilisierung</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DSA-Transparenzberichte</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Moderation, Risiken, Werbung, Maßnahmen großer Plattformen</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hoch/mittel</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Plattform-Scorecards</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Ad Repositories</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politische/kommerzielle Werbung, Sponsor, Targeting</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hoch/mittel</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Werbe- und Wahlwirkungsprüfung</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EDMO / Faktencheck-Netzwerke</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Desinformationsfälle, Narrative, Medienkompetenz</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mittel/hoch</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Risikomatrix</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Media Pluralism Monitor</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Pluralismusrisiken, Marktstruktur, politische Unabhängigkeit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hoch</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Systemindikatoren</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Nutzer- und Plattformdaten</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Reichweite, Verweildauer, Engagement, Empfehlungswege</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mittel</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Nur mit Datenschutz und Aggregation</w:t>
            </w:r>
          </w:p>
        </w:tc>
      </w:tr>
      <w:tr>
        <w:tc>
          <w:tcPr>
            <w:tcW w:type="dxa" w:w="2484"/>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Wissenschaftliche Inhaltsanalyse</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Frames, Quellenvielfalt, Entmenschlichung, Kontext</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hoch bei transparenter Methode</w:t>
            </w:r>
          </w:p>
        </w:tc>
        <w:tc>
          <w:tcPr>
            <w:tcW w:type="dxa" w:w="2484"/>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Diskursmonitoring</w:t>
            </w:r>
          </w:p>
        </w:tc>
      </w:tr>
    </w:tbl>
    <w:p/>
    <w:p>
      <w:pPr>
        <w:pStyle w:val="Heading2"/>
      </w:pPr>
      <w:r>
        <w:t>6. Tool-Suite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Tool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Zielgruppe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Funktion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Medienwirkungscheck</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Redaktionen, Bildung, Politik</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Prüft Beitrag oder Format entlang MWI-Dimensionen.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Sprach- und Framing-Analyse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Journalismus, Politik, Bildung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Analysiert Resonanzräume, Entmenschlichung, Angst- und Vertrauensframes.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Plattform-Wirkungscheck</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Aufsicht, Forschung, Plattformen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Prüft Empfehlungssystem, Werbung, Transparenz, Datenzugang.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Quellenklarheits-Check</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Bürger:innen, Bildung, Redaktionen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Macht Herkunft, Interessen und Beleglage sichtbar.</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Desinformations-Risikocheck</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 Behörden, Forschung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Bewertet Koordination, Täuschung, KI, Reichweite und Zielgruppenrisiko.</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Creator-Responsibility-Score</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Creator:innen, Plattformen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Prüft Werbung, KI, Sponsoring, Korrekturen, Reichweitenverantwortung.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Diskursqualitäts-Monitor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Kommunen, Forschung, Zivilgesellschaft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Erfasst Diskursklima, Polarisierung, Korrekturfähigkeit und Beteiligung.</w:t>
            </w:r>
          </w:p>
        </w:tc>
      </w:tr>
    </w:tbl>
    <w:p/>
    <w:p>
      <w:pPr>
        <w:pStyle w:val="Heading2"/>
      </w:pPr>
      <w:r>
        <w:t>7. Politische Umsetzung</w:t>
      </w:r>
    </w:p>
    <w:tbl>
      <w:tblPr>
        <w:tblStyle w:val="TableGrid"/>
        <w:tblW w:type="auto" w:w="0"/>
        <w:jc w:val="center"/>
        <w:tblLook w:firstColumn="1" w:firstRow="1" w:lastColumn="0" w:lastRow="0" w:noHBand="0" w:noVBand="1" w:val="04A0"/>
      </w:tblPr>
      <w:tblGrid>
        <w:gridCol w:w="4968"/>
        <w:gridCol w:w="4968"/>
      </w:tblGrid>
      <w:tr>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Ebene</w:t>
            </w:r>
          </w:p>
        </w:tc>
        <w:tc>
          <w:tcPr>
            <w:tcW w:type="dxa" w:w="4968"/>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Umsetzungsoption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Aufgabe der Politik</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Öffentlichkeit als demokratische Infrastruktur schützen: Medienfreiheit, Quellenklarheit, Plattformverantwortung, Diskursfähigkeit, digitale Selbstbestimmung und Schutz vor Manipulation.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Politische Rahmenbedingungen</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DSA, EMFA, AI Act, politische Werbetransparenz, AVMSD, Datenschutz, Wettbewerbsrecht, Medienstaatsverträge, Medienförderung und unabhängige Aufsicht wirkungsbezogen verbinden.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Ausgestaltungsspielraum</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Parteien können unterschiedlich gewichten: freie Märkte, öffentlich-rechtliche Digitalräume, Plattformaufsicht, Medienförderung, Jugendschutz, Datenschutz, nationale oder europäische Zuständigkeiten.</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Zielkonflikte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Meinungsfreiheit vs. Manipulationsschutz, Innovationsfreiheit vs. Plattformmacht, Datenschutz vs. Forschung, Moderation vs. Grundrechtsrisiken, Reichweite vs. Qualität, Medienfinanzierung vs. Unabhängigkeit.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Rollenverteilung</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 setzt Plattform- und Medienrahmen; Bund und Länder gestalten Medienordnung; Aufsicht prüft Systemrisiken; Medien sichern Standards; Plattformen öffnen Daten; Wissenschaft evaluiert; Bürger:innen erhalten Rechte.</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Übergang und Schutz</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Stufenweise Einführung, Schutz kleiner Medien und Creator:innen, Rechtsschutz, Transparenzpflichten für große Reichweiten, Forscherdatenzugang, Schutz vor Overblocking und parteipolitischer Instrumentalisierung.</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Evaluation und Korrektur</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Medienwirkungsberichte, MWI, DSA-Transparenzberichte, Pluralismusmonitoring, Desinformationsberichte, öffentliche Konsultationen, Wirkungsrat/ADÖ als lernende Korrekturinstanz.</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Parteipolitische Anschlussfähigkeit</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Konservative, liberale, sozialdemokratische, grüne, linke, bürgerrechtliche und medienpolitische Perspektiven können verschiedene Wege wählen, solange demokratische Korrekturfähigkeit geschützt bleibt.</w:t>
            </w:r>
          </w:p>
        </w:tc>
      </w:tr>
      <w:tr>
        <w:tc>
          <w:tcPr>
            <w:tcW w:type="dxa" w:w="4968"/>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Schutz vor Technokratie</w:t>
            </w:r>
          </w:p>
        </w:tc>
        <w:tc>
          <w:tcPr>
            <w:tcW w:type="dxa" w:w="4968"/>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Wirkungsdaten bereiten Entscheidungen vor, ersetzen sie aber nicht. Es wird nicht die Meinung bewertet, sondern Infrastruktur, Transparenz, Korrekturwege und Manipulationsrisiken.</w:t>
            </w:r>
          </w:p>
        </w:tc>
      </w:tr>
    </w:tbl>
    <w:p/>
    <w:p>
      <w:pPr>
        <w:pStyle w:val="Heading2"/>
      </w:pPr>
      <w:r>
        <w:t>8. Quellen und Referenzen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Quelle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URL</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Relevanz</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 Digital Services Act (DSA)</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https://digital-strategy.ec.europa.eu/en/policies/digital-services-act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Regelt Transparenz, Rechenschaft, Werbung, Dark Patterns, systemische Risiken von Plattformen und besonders VLOPs/VLOSEs.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DSA - Very Large Online Platforms and Search Engines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https://digital-strategy.ec.europa.eu/en/policies/dsa-vlops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Definiert VLOPs/VLOSEs ab mehr als 45 Millionen Nutzer:innen in der EU und deren verschärfte Pflichten.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European Media Freedom Act (EMFA)</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https://commission.europa.eu/strategy-and-policy/priorities-2019-2024/new-push-european-democracy/protecting-democracy/european-media-freedom-act_en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Schutz von Medienfreiheit, Pluralismus und redaktioneller Unabhängigkeit; in Kraft seit 2024, große Teile anwendbar seit 2025.</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 AI Act - Regulatory framework for AI</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https://digital-strategy.ec.europa.eu/en/policies/regulatory-framework-ai</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Transparenzpflichten zu KI-generierten Inhalten, Deepfakes und Manipulationsrisiken.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Code of Practice on marking and labelling AI-generated content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https://digital-strategy.ec.europa.eu/en/policies/code-practice-ai-generated-content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Markierung, Erkennung und Kennzeichnung KI-generierter Inhalte als Schutz der Informationsintegrität.</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 Regulation on transparency and targeting of political advertising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https://commission.europa.eu/strategy-and-policy/policies/justice-and-fundamental-rights/democracy-eu-citizenship-anti-corruption/democracy-and-electoral-rights/transparency-and-targeting-political-advertising_en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Regelt Transparenzhinweise und Targeting politischer Werbung.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European Digital Media Observatory (EDMO)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https://digital-strategy.ec.europa.eu/en/policies/european-digital-media-observatory</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Europäischer Rahmen gegen Desinformation und für Medienkompetenz.</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EDMO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https://edmo.eu/</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Netzwerk von Hubs für Desinformationserkennung, Medienkompetenz und Analyse digitaler Medienökosysteme.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Media Pluralism Monitor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https://digital-strategy.ec.europa.eu/en/policies/monitoring-media-pluralism</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Wissenschaftliches Instrument zur Identifikation von Risiken für Medienpluralismus.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Centre for Media Pluralism and Media Freedom - MPM</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https://cmpf.eui.eu/projects-cmpf/media-pluralism-monitor/</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Methodik mit Indikatoren und Variablen zu Fundamental Protection, Market Plurality, Political Independence und Social Inclusiveness.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Audiovisual Media Services Directive (AVMSD)</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https://digital-strategy.ec.europa.eu/en/policies/audiovisual-and-media-services</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EU-Koordinierung für audiovisuelle Mediendienste und Video-Sharing-Plattformen.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Council of Europe Safety of Journalists Platform</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https://fom.coe.int/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Berichte über ernsthafte Bedrohungen für Journalist:innen und Medienfreiheit in Europa.</w:t>
            </w:r>
          </w:p>
        </w:tc>
      </w:tr>
    </w:tbl>
    <w:p/>
    <w:sectPr w:rsidR="00FC693F" w:rsidRPr="0006063C" w:rsidSect="00034616">
      <w:headerReference w:type="default" r:id="rId9"/>
      <w:footerReference w:type="default" r:id="rId10"/>
      <w:pgSz w:w="12240" w:h="15840"/>
      <w:pgMar w:top="108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F7275"/>
        <w:sz w:val="16"/>
      </w:rPr>
      <w:t>© 2026 Natalie Weber · Wirkungsökonomie · Diskussionsfassung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6F7275"/>
        <w:sz w:val="16"/>
      </w:rPr>
      <w:t>Wirkungsökonomie | Für Mensch, Planet und Demokratie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eastAsia="Source Sans 3"/>
      <w:color w:val="252A3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eastAsia="Playfair Display"/>
      <w:b/>
      <w:bCs/>
      <w:color w:val="0B1D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eastAsia="Playfair Display"/>
      <w:b/>
      <w:bCs/>
      <w:color w:val="0B1D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eastAsia="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eastAsia="Source Sans 3"/>
      <w:b/>
      <w:bCs/>
      <w:i/>
      <w:iCs/>
      <w:color w:val="2E7D5C"/>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Source Sans 3" w:hAnsi="Source Sans 3" w:eastAsia="Source Sans 3"/>
      <w:color w:val="252A30"/>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