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drawing>
          <wp:inline xmlns:a="http://schemas.openxmlformats.org/drawingml/2006/main" xmlns:pic="http://schemas.openxmlformats.org/drawingml/2006/picture">
            <wp:extent cx="457200" cy="457200"/>
            <wp:docPr id="1" name="Picture 1"/>
            <wp:cNvGraphicFramePr>
              <a:graphicFrameLocks noChangeAspect="1"/>
            </wp:cNvGraphicFramePr>
            <a:graphic>
              <a:graphicData uri="http://schemas.openxmlformats.org/drawingml/2006/picture">
                <pic:pic>
                  <pic:nvPicPr>
                    <pic:cNvPr id="0" name="woek_brand_mark.png"/>
                    <pic:cNvPicPr/>
                  </pic:nvPicPr>
                  <pic:blipFill>
                    <a:blip r:embed="rId10"/>
                    <a:stretch>
                      <a:fillRect/>
                    </a:stretch>
                  </pic:blipFill>
                  <pic:spPr>
                    <a:xfrm>
                      <a:off x="0" y="0"/>
                      <a:ext cx="457200" cy="457200"/>
                    </a:xfrm>
                    <a:prstGeom prst="rect"/>
                  </pic:spPr>
                </pic:pic>
              </a:graphicData>
            </a:graphic>
          </wp:inline>
        </w:drawing>
      </w:r>
    </w:p>
    <w:p>
      <w:pPr>
        <w:jc w:val="left"/>
      </w:pPr>
      <w:r>
        <w:rPr>
          <w:rFonts w:ascii="Liberation Serif" w:hAnsi="Liberation Serif" w:eastAsia="Liberation Serif"/>
          <w:b/>
          <w:color w:val="0B1030"/>
          <w:sz w:val="30"/>
        </w:rPr>
        <w:t>WIRKUNGSÖKONOMIE</w:t>
      </w:r>
    </w:p>
    <w:p>
      <w:r>
        <w:rPr>
          <w:rFonts w:ascii="Liberation Sans" w:hAnsi="Liberation Sans" w:eastAsia="Liberation Sans"/>
          <w:b/>
          <w:caps/>
          <w:color w:val="2B7D5C"/>
          <w:sz w:val="18"/>
        </w:rPr>
        <w:t>STANDARD / KORREKTURLEITLINIE</w:t>
      </w:r>
    </w:p>
    <w:p>
      <w:r>
        <w:rPr>
          <w:rFonts w:ascii="Liberation Serif" w:hAnsi="Liberation Serif" w:eastAsia="Liberation Serif"/>
          <w:b/>
          <w:color w:val="0B1030"/>
          <w:sz w:val="62"/>
        </w:rPr>
        <w:t>Publikationsstandard für Detailkonzepte und Dossiers</w:t>
      </w:r>
    </w:p>
    <w:p>
      <w:r>
        <w:rPr>
          <w:rFonts w:ascii="Liberation Serif" w:hAnsi="Liberation Serif" w:eastAsia="Liberation Serif"/>
          <w:b w:val="0"/>
          <w:color w:val="2B7D5C"/>
          <w:sz w:val="32"/>
        </w:rPr>
        <w:t>Öffentliche Dokumente, Online-Volltexte und interne Umsetzungsanweisungen sauber trennen</w:t>
      </w:r>
    </w:p>
    <w:tbl>
      <w:tblPr>
        <w:tblW w:type="auto" w:w="0"/>
        <w:jc w:val="left"/>
        <w:tblLayout w:type="autofit"/>
        <w:tblLook w:firstColumn="1" w:firstRow="1" w:lastColumn="0" w:lastRow="0" w:noHBand="0" w:noVBand="1" w:val="04A0"/>
      </w:tblPr>
      <w:tblGrid>
        <w:gridCol w:w="5083"/>
        <w:gridCol w:w="5083"/>
      </w:tblGrid>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Autorin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Natalie Weber</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Referenz</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Wirkungsökonomie</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Version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v0.3</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Status</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verbindliche Korrekturfassung</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Stand</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24. Mai 2026</w:t>
            </w:r>
          </w:p>
        </w:tc>
      </w:tr>
    </w:tbl>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erif" w:hAnsi="Liberation Serif" w:eastAsia="Liberation Serif"/>
                <w:b/>
                <w:color w:val="0B1030"/>
                <w:sz w:val="26"/>
              </w:rPr>
              <w:t>Leitformel: Wirkung statt Kapital. Für Mensch, Planet und Demokratie.</w:t>
            </w:r>
          </w:p>
        </w:tc>
      </w:tr>
    </w:tbl>
    <w:p>
      <w:r>
        <w:br w:type="page"/>
      </w:r>
    </w:p>
    <w:p>
      <w:pPr>
        <w:pStyle w:val="Heading1"/>
      </w:pPr>
      <w:r>
        <w:t>1. Zweck dieser Korrekturfassung</w:t>
      </w:r>
    </w:p>
    <w:p>
      <w:pPr>
        <w:spacing w:after="120" w:line="259" w:lineRule="auto"/>
      </w:pPr>
      <w:r>
        <w:rPr>
          <w:rFonts w:ascii="Liberation Sans" w:hAnsi="Liberation Sans" w:eastAsia="Liberation Sans"/>
          <w:color w:val="2E2A2C"/>
          <w:sz w:val="21"/>
        </w:rPr>
        <w:t>Diese Korrekturfassung legt verbindlich fest, wie künftige Konzeptpapiere, Detailkonzepte, Dossiers und Website-Inhalte der Wirkungsökonomie aufgebaut werden. Sie korrigiert die bisherige Praxis, Unterbereiche nur sehr kurz zu skizzieren, und trennt öffentliche Inhalte strikt von internen Umsetzungsanweisungen.</w:t>
      </w:r>
    </w:p>
    <w:p>
      <w:pPr>
        <w:spacing w:after="120" w:line="259" w:lineRule="auto"/>
      </w:pPr>
      <w:r>
        <w:rPr>
          <w:rFonts w:ascii="Liberation Sans" w:hAnsi="Liberation Sans" w:eastAsia="Liberation Sans"/>
          <w:color w:val="2E2A2C"/>
          <w:sz w:val="21"/>
        </w:rPr>
        <w:t>Alle öffentlichen Dokumente müssen für sich lesbar sein. Sie dürfen keine Hinweise auf technische Umsetzung, CodeX, Repository-Strukturen, Prompts, Arbeitsanweisungen, interne Dateiablagen, Build-Schritte oder redaktionelle Prozessnotizen enthalten. Solche Informationen gehören ausschließlich in separate interne Anweisungsdateien.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Verbindliche Regel</w:t>
              <w:br/>
            </w:r>
            <w:r>
              <w:rPr>
                <w:rFonts w:ascii="Liberation Sans" w:hAnsi="Liberation Sans" w:eastAsia="Liberation Sans"/>
                <w:color w:val="2E2A2C"/>
                <w:sz w:val="20"/>
              </w:rPr>
              <w:t>Öffentliche Dokumente erklären die Wirkungsökonomie. Interne Dateien steuern die Umsetzung. Beides darf nicht vermischt werden.</w:t>
            </w:r>
          </w:p>
        </w:tc>
      </w:tr>
    </w:tbl>
    <w:p/>
    <w:p>
      <w:pPr>
        <w:pStyle w:val="Heading1"/>
      </w:pPr>
      <w:r>
        <w:t>2. Dokumenttypen und Mindestumfang</w:t>
      </w:r>
    </w:p>
    <w:tbl>
      <w:tblPr>
        <w:tblW w:type="auto" w:w="0"/>
        <w:jc w:val="center"/>
        <w:tblLook w:firstColumn="1" w:firstRow="1" w:lastColumn="0" w:lastRow="0" w:noHBand="0" w:noVBand="1" w:val="04A0"/>
      </w:tblPr>
      <w:tblGrid>
        <w:gridCol w:w="3389"/>
        <w:gridCol w:w="3389"/>
        <w:gridCol w:w="3389"/>
      </w:tblGrid>
      <w:tr>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Dokumenttyp</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Orientierungsumfang</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Funktion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Konzeptpapier</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10-25 Seiten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Theorie, Systemlogik, Begriffe, Zielbild, Abgrenzung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Detailkonzept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12-30 Seiten je Unterbereich</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vollständige fachliche Ausarbeitung mit Unterkapiteln, Datenlogik, Risiken und Umsetzung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Gesamtdossier</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15-40 Seiten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praktische Umsetzung, Beispiele, Berechnungen, Datenquellen, Akteursperspektiven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Einzeldossier</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8-25 Seiten je Unterbereich</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konkrete Anwendung, Beispielrechnung, Quellen, Tool- oder Prozessbezug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Website-Online-Volltext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vollständig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keine Teaserlogik; Kapitel online lesbar mit Download nur ergänzend</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Tool-Spezifikation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intern/öffentlich je nach Inhalt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Demo-Logik, Eingaben, Datenquellen, Nicht-amtlich-Hinweise, Datenschutz</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CodeX-Anweisung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intern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Umsetzung im Repository; niemals Teil öffentlicher Website-Inhalte</w:t>
            </w:r>
          </w:p>
        </w:tc>
      </w:tr>
    </w:tbl>
    <w:p/>
    <w:p>
      <w:pPr>
        <w:pStyle w:val="Heading1"/>
      </w:pPr>
      <w:r>
        <w:t>3. Öffentliche Dokumente: Was hinein gehört</w:t>
      </w:r>
    </w:p>
    <w:p>
      <w:pPr>
        <w:pStyle w:val="ListBullet"/>
        <w:spacing w:after="60"/>
      </w:pPr>
      <w:r>
        <w:rPr>
          <w:rFonts w:ascii="Liberation Sans" w:hAnsi="Liberation Sans" w:eastAsia="Liberation Sans"/>
          <w:color w:val="2E2A2C"/>
          <w:sz w:val="20"/>
        </w:rPr>
        <w:t>Titel, Untertitel, Autorin Natalie Weber, Referenz Wirkungsökonomie, Version, Stand, Status und Zielgruppe.</w:t>
      </w:r>
    </w:p>
    <w:p>
      <w:pPr>
        <w:pStyle w:val="ListBullet"/>
        <w:spacing w:after="60"/>
      </w:pPr>
      <w:r>
        <w:rPr>
          <w:rFonts w:ascii="Liberation Sans" w:hAnsi="Liberation Sans" w:eastAsia="Liberation Sans"/>
          <w:color w:val="2E2A2C"/>
          <w:sz w:val="20"/>
        </w:rPr>
        <w:t>Executive Summary mit der zentralen Wirkungsfrage des Themas.</w:t>
      </w:r>
    </w:p>
    <w:p>
      <w:pPr>
        <w:pStyle w:val="ListBullet"/>
        <w:spacing w:after="60"/>
      </w:pPr>
      <w:r>
        <w:rPr>
          <w:rFonts w:ascii="Liberation Sans" w:hAnsi="Liberation Sans" w:eastAsia="Liberation Sans"/>
          <w:color w:val="2E2A2C"/>
          <w:sz w:val="20"/>
        </w:rPr>
        <w:t>Ausgangsproblem und alte Logik: welcher Maßstab dominiert heute und welche Fehlwirkungen entstehen daraus?</w:t>
      </w:r>
    </w:p>
    <w:p>
      <w:pPr>
        <w:pStyle w:val="ListBullet"/>
        <w:spacing w:after="60"/>
      </w:pPr>
      <w:r>
        <w:rPr>
          <w:rFonts w:ascii="Liberation Sans" w:hAnsi="Liberation Sans" w:eastAsia="Liberation Sans"/>
          <w:color w:val="2E2A2C"/>
          <w:sz w:val="20"/>
        </w:rPr>
        <w:t>Wirkungsökonomischer Perspektivwechsel: welche positive Netto-Wirkung für Mensch, Planet und Demokratie wird angestrebt?</w:t>
      </w:r>
    </w:p>
    <w:p>
      <w:pPr>
        <w:pStyle w:val="ListBullet"/>
        <w:spacing w:after="60"/>
      </w:pPr>
      <w:r>
        <w:rPr>
          <w:rFonts w:ascii="Liberation Sans" w:hAnsi="Liberation Sans" w:eastAsia="Liberation Sans"/>
          <w:color w:val="2E2A2C"/>
          <w:sz w:val="20"/>
        </w:rPr>
        <w:t>Begriffliche Abgrenzung nach dem führenden Begriffsleitfaden: Wirkung ist neutral, Bewertung erfolgt über SDGs/SDG+.</w:t>
      </w:r>
    </w:p>
    <w:p>
      <w:pPr>
        <w:pStyle w:val="ListBullet"/>
        <w:spacing w:after="60"/>
      </w:pPr>
      <w:r>
        <w:rPr>
          <w:rFonts w:ascii="Liberation Sans" w:hAnsi="Liberation Sans" w:eastAsia="Liberation Sans"/>
          <w:color w:val="2E2A2C"/>
          <w:sz w:val="20"/>
        </w:rPr>
        <w:t>Systemarchitektur: Akteure, Daten, Regeln, Rückkopplungen, Institutionen und Schutzmechanismen.</w:t>
      </w:r>
    </w:p>
    <w:p>
      <w:pPr>
        <w:pStyle w:val="ListBullet"/>
        <w:spacing w:after="60"/>
      </w:pPr>
      <w:r>
        <w:rPr>
          <w:rFonts w:ascii="Liberation Sans" w:hAnsi="Liberation Sans" w:eastAsia="Liberation Sans"/>
          <w:color w:val="2E2A2C"/>
          <w:sz w:val="20"/>
        </w:rPr>
        <w:t>Politische Anschlussfähigkeit: Aufgaben der Politik auf Meta-Ebene, Optionen, Ausgestaltungsspielräume und demokratische Aushandlung.</w:t>
      </w:r>
    </w:p>
    <w:p>
      <w:pPr>
        <w:pStyle w:val="ListBullet"/>
        <w:spacing w:after="60"/>
      </w:pPr>
      <w:r>
        <w:rPr>
          <w:rFonts w:ascii="Liberation Sans" w:hAnsi="Liberation Sans" w:eastAsia="Liberation Sans"/>
          <w:color w:val="2E2A2C"/>
          <w:sz w:val="20"/>
        </w:rPr>
        <w:t>Umsetzungsmodelle und Varianten: konservativ, progressiv, liberal, sozial, kommunal, marktbasiert oder gemeinwohlorientiert anschlussfähig formulieren.</w:t>
      </w:r>
    </w:p>
    <w:p>
      <w:pPr>
        <w:pStyle w:val="ListBullet"/>
        <w:spacing w:after="60"/>
      </w:pPr>
      <w:r>
        <w:rPr>
          <w:rFonts w:ascii="Liberation Sans" w:hAnsi="Liberation Sans" w:eastAsia="Liberation Sans"/>
          <w:color w:val="2E2A2C"/>
          <w:sz w:val="20"/>
        </w:rPr>
        <w:t>Datenquellen, WÖk-IDs, SDG-/SDG+-Bezug, Buchanker, Werkzeuge, Glossar und verwandte Portale.</w:t>
      </w:r>
    </w:p>
    <w:p>
      <w:pPr>
        <w:pStyle w:val="ListBullet"/>
        <w:spacing w:after="60"/>
      </w:pPr>
      <w:r>
        <w:rPr>
          <w:rFonts w:ascii="Liberation Sans" w:hAnsi="Liberation Sans" w:eastAsia="Liberation Sans"/>
          <w:color w:val="2E2A2C"/>
          <w:sz w:val="20"/>
        </w:rPr>
        <w:t>Risiken, Nebenwirkungen, Missbrauchsschutz, Grenzen der Messung und Schutz vor Personenbewertung.</w:t>
      </w:r>
    </w:p>
    <w:p>
      <w:pPr>
        <w:pStyle w:val="Heading1"/>
      </w:pPr>
      <w:r>
        <w:t>4. Öffentliche Dokumente: Was nicht hinein gehört</w:t>
      </w:r>
    </w:p>
    <w:p>
      <w:pPr>
        <w:pStyle w:val="ListBullet"/>
        <w:spacing w:after="60"/>
      </w:pPr>
      <w:r>
        <w:rPr>
          <w:rFonts w:ascii="Liberation Sans" w:hAnsi="Liberation Sans" w:eastAsia="Liberation Sans"/>
          <w:color w:val="2E2A2C"/>
          <w:sz w:val="20"/>
        </w:rPr>
        <w:t>Keine CodeX-Anweisungen, keine Repository-Pfade als Arbeitsauftrag, keine Build- oder Testnotizen.</w:t>
      </w:r>
    </w:p>
    <w:p>
      <w:pPr>
        <w:pStyle w:val="ListBullet"/>
        <w:spacing w:after="60"/>
      </w:pPr>
      <w:r>
        <w:rPr>
          <w:rFonts w:ascii="Liberation Sans" w:hAnsi="Liberation Sans" w:eastAsia="Liberation Sans"/>
          <w:color w:val="2E2A2C"/>
          <w:sz w:val="20"/>
        </w:rPr>
        <w:t>Keine Sätze wie: „Bitte prüfe zuerst die Projektstruktur“, „Lege Dateien an“, „aktualisiere Sitemap“ oder „am Ende Bericht liefern“.</w:t>
      </w:r>
    </w:p>
    <w:p>
      <w:pPr>
        <w:pStyle w:val="ListBullet"/>
        <w:spacing w:after="60"/>
      </w:pPr>
      <w:r>
        <w:rPr>
          <w:rFonts w:ascii="Liberation Sans" w:hAnsi="Liberation Sans" w:eastAsia="Liberation Sans"/>
          <w:color w:val="2E2A2C"/>
          <w:sz w:val="20"/>
        </w:rPr>
        <w:t>Keine internen Dateinamenlisten, wenn sie nicht als öffentliches Downloadregister gemeint sind.</w:t>
      </w:r>
    </w:p>
    <w:p>
      <w:pPr>
        <w:pStyle w:val="ListBullet"/>
        <w:spacing w:after="60"/>
      </w:pPr>
      <w:r>
        <w:rPr>
          <w:rFonts w:ascii="Liberation Sans" w:hAnsi="Liberation Sans" w:eastAsia="Liberation Sans"/>
          <w:color w:val="2E2A2C"/>
          <w:sz w:val="20"/>
        </w:rPr>
        <w:t>Keine Chat- oder Prompt-Hinweise, keine Entstehungsnotizen zur KI-Nutzung, keine Systemanweisungen.</w:t>
      </w:r>
    </w:p>
    <w:p>
      <w:pPr>
        <w:pStyle w:val="ListBullet"/>
        <w:spacing w:after="60"/>
      </w:pPr>
      <w:r>
        <w:rPr>
          <w:rFonts w:ascii="Liberation Sans" w:hAnsi="Liberation Sans" w:eastAsia="Liberation Sans"/>
          <w:color w:val="2E2A2C"/>
          <w:sz w:val="20"/>
        </w:rPr>
        <w:t>Keine technischen TODOs in öffentlichen Online-Volltexten. Offene inhaltliche Punkte werden als „in Ausarbeitung“ oder „Diskussionsstand“ beschrieben, nicht als interne Aufgabe.</w:t>
      </w:r>
    </w:p>
    <w:p>
      <w:pPr>
        <w:pStyle w:val="ListBullet"/>
        <w:spacing w:after="60"/>
      </w:pPr>
      <w:r>
        <w:rPr>
          <w:rFonts w:ascii="Liberation Sans" w:hAnsi="Liberation Sans" w:eastAsia="Liberation Sans"/>
          <w:color w:val="2E2A2C"/>
          <w:sz w:val="20"/>
        </w:rPr>
        <w:t>Keine bloßen Teaser mit PDF-Verweis. Der Volltext muss online lesbar sein.</w:t>
      </w:r>
    </w:p>
    <w:p>
      <w:pPr>
        <w:pStyle w:val="Heading1"/>
      </w:pPr>
      <w:r>
        <w:t>5. Mindeststruktur eines Detailkonzepts</w:t>
      </w:r>
    </w:p>
    <w:p>
      <w:pPr>
        <w:pStyle w:val="ListNumber"/>
        <w:spacing w:after="60"/>
      </w:pPr>
      <w:r>
        <w:rPr>
          <w:rFonts w:ascii="Liberation Sans" w:hAnsi="Liberation Sans" w:eastAsia="Liberation Sans"/>
          <w:color w:val="2E2A2C"/>
          <w:sz w:val="20"/>
        </w:rPr>
        <w:t>Kurzfassung und Ziel des Unterbereichs.</w:t>
      </w:r>
    </w:p>
    <w:p>
      <w:pPr>
        <w:pStyle w:val="ListNumber"/>
        <w:spacing w:after="60"/>
      </w:pPr>
      <w:r>
        <w:rPr>
          <w:rFonts w:ascii="Liberation Sans" w:hAnsi="Liberation Sans" w:eastAsia="Liberation Sans"/>
          <w:color w:val="2E2A2C"/>
          <w:sz w:val="20"/>
        </w:rPr>
        <w:t>Ausgangslage und Problem der alten Logik.</w:t>
      </w:r>
    </w:p>
    <w:p>
      <w:pPr>
        <w:pStyle w:val="ListNumber"/>
        <w:spacing w:after="60"/>
      </w:pPr>
      <w:r>
        <w:rPr>
          <w:rFonts w:ascii="Liberation Sans" w:hAnsi="Liberation Sans" w:eastAsia="Liberation Sans"/>
          <w:color w:val="2E2A2C"/>
          <w:sz w:val="20"/>
        </w:rPr>
        <w:t>Begriffliche Einordnung und Abgrenzung.</w:t>
      </w:r>
    </w:p>
    <w:p>
      <w:pPr>
        <w:pStyle w:val="ListNumber"/>
        <w:spacing w:after="60"/>
      </w:pPr>
      <w:r>
        <w:rPr>
          <w:rFonts w:ascii="Liberation Sans" w:hAnsi="Liberation Sans" w:eastAsia="Liberation Sans"/>
          <w:color w:val="2E2A2C"/>
          <w:sz w:val="20"/>
        </w:rPr>
        <w:t>Wirkungsökonomischer Perspektivwechsel.</w:t>
      </w:r>
    </w:p>
    <w:p>
      <w:pPr>
        <w:pStyle w:val="ListNumber"/>
        <w:spacing w:after="60"/>
      </w:pPr>
      <w:r>
        <w:rPr>
          <w:rFonts w:ascii="Liberation Sans" w:hAnsi="Liberation Sans" w:eastAsia="Liberation Sans"/>
          <w:color w:val="2E2A2C"/>
          <w:sz w:val="20"/>
        </w:rPr>
        <w:t>Systemarchitektur: Akteure, Daten, Regeln, Rückkopplungen.</w:t>
      </w:r>
    </w:p>
    <w:p>
      <w:pPr>
        <w:pStyle w:val="ListNumber"/>
        <w:spacing w:after="60"/>
      </w:pPr>
      <w:r>
        <w:rPr>
          <w:rFonts w:ascii="Liberation Sans" w:hAnsi="Liberation Sans" w:eastAsia="Liberation Sans"/>
          <w:color w:val="2E2A2C"/>
          <w:sz w:val="20"/>
        </w:rPr>
        <w:t>Mess- und Bewertungslogik: WÖk-IDs, Scorecards, NWI, T-SROI oder fachliche Indikatoren.</w:t>
      </w:r>
    </w:p>
    <w:p>
      <w:pPr>
        <w:pStyle w:val="ListNumber"/>
        <w:spacing w:after="60"/>
      </w:pPr>
      <w:r>
        <w:rPr>
          <w:rFonts w:ascii="Liberation Sans" w:hAnsi="Liberation Sans" w:eastAsia="Liberation Sans"/>
          <w:color w:val="2E2A2C"/>
          <w:sz w:val="20"/>
        </w:rPr>
        <w:t>Politische Anschlussfähigkeit: Pflichtaufgaben der Politik, mögliche Ausgestaltungspfade, demokratischer Diskurs.</w:t>
      </w:r>
    </w:p>
    <w:p>
      <w:pPr>
        <w:pStyle w:val="ListNumber"/>
        <w:spacing w:after="60"/>
      </w:pPr>
      <w:r>
        <w:rPr>
          <w:rFonts w:ascii="Liberation Sans" w:hAnsi="Liberation Sans" w:eastAsia="Liberation Sans"/>
          <w:color w:val="2E2A2C"/>
          <w:sz w:val="20"/>
        </w:rPr>
        <w:t>Unternehmens-, Bürger:innen-, Verwaltungs- oder Zielgruppenperspektive.</w:t>
      </w:r>
    </w:p>
    <w:p>
      <w:pPr>
        <w:pStyle w:val="ListNumber"/>
        <w:spacing w:after="60"/>
      </w:pPr>
      <w:r>
        <w:rPr>
          <w:rFonts w:ascii="Liberation Sans" w:hAnsi="Liberation Sans" w:eastAsia="Liberation Sans"/>
          <w:color w:val="2E2A2C"/>
          <w:sz w:val="20"/>
        </w:rPr>
        <w:t>Risiken, Schutzmechanismen, Nicht-Kompensation und rote Linien.</w:t>
      </w:r>
    </w:p>
    <w:p>
      <w:pPr>
        <w:pStyle w:val="ListNumber"/>
        <w:spacing w:after="60"/>
      </w:pPr>
      <w:r>
        <w:rPr>
          <w:rFonts w:ascii="Liberation Sans" w:hAnsi="Liberation Sans" w:eastAsia="Liberation Sans"/>
          <w:color w:val="2E2A2C"/>
          <w:sz w:val="20"/>
        </w:rPr>
        <w:t>Umsetzungsmodell und Pilotierung.</w:t>
      </w:r>
    </w:p>
    <w:p>
      <w:pPr>
        <w:pStyle w:val="ListNumber"/>
        <w:spacing w:after="60"/>
      </w:pPr>
      <w:r>
        <w:rPr>
          <w:rFonts w:ascii="Liberation Sans" w:hAnsi="Liberation Sans" w:eastAsia="Liberation Sans"/>
          <w:color w:val="2E2A2C"/>
          <w:sz w:val="20"/>
        </w:rPr>
        <w:t>Online-Fassung, Download, Dossier, Toolbezug, Buchanker und Quellen.</w:t>
      </w:r>
    </w:p>
    <w:p>
      <w:pPr>
        <w:pStyle w:val="Heading1"/>
      </w:pPr>
      <w:r>
        <w:t>6. Mindeststruktur eines Einzeldossiers</w:t>
      </w:r>
    </w:p>
    <w:p>
      <w:pPr>
        <w:pStyle w:val="ListNumber"/>
        <w:spacing w:after="60"/>
      </w:pPr>
      <w:r>
        <w:rPr>
          <w:rFonts w:ascii="Liberation Sans" w:hAnsi="Liberation Sans" w:eastAsia="Liberation Sans"/>
          <w:color w:val="2E2A2C"/>
          <w:sz w:val="20"/>
        </w:rPr>
        <w:t>Praxisfrage: Woran erkennt man das Problem im Alltag oder in Daten?</w:t>
      </w:r>
    </w:p>
    <w:p>
      <w:pPr>
        <w:pStyle w:val="ListNumber"/>
        <w:spacing w:after="60"/>
      </w:pPr>
      <w:r>
        <w:rPr>
          <w:rFonts w:ascii="Liberation Sans" w:hAnsi="Liberation Sans" w:eastAsia="Liberation Sans"/>
          <w:color w:val="2E2A2C"/>
          <w:sz w:val="20"/>
        </w:rPr>
        <w:t>Beispiel oder Fallstudie.</w:t>
      </w:r>
    </w:p>
    <w:p>
      <w:pPr>
        <w:pStyle w:val="ListNumber"/>
        <w:spacing w:after="60"/>
      </w:pPr>
      <w:r>
        <w:rPr>
          <w:rFonts w:ascii="Liberation Sans" w:hAnsi="Liberation Sans" w:eastAsia="Liberation Sans"/>
          <w:color w:val="2E2A2C"/>
          <w:sz w:val="20"/>
        </w:rPr>
        <w:t>Berechnung oder Bewertungsweg, inklusive Formeln und Annahmen.</w:t>
      </w:r>
    </w:p>
    <w:p>
      <w:pPr>
        <w:pStyle w:val="ListNumber"/>
        <w:spacing w:after="60"/>
      </w:pPr>
      <w:r>
        <w:rPr>
          <w:rFonts w:ascii="Liberation Sans" w:hAnsi="Liberation Sans" w:eastAsia="Liberation Sans"/>
          <w:color w:val="2E2A2C"/>
          <w:sz w:val="20"/>
        </w:rPr>
        <w:t>Datenquellen und Vertrauensstufen.</w:t>
      </w:r>
    </w:p>
    <w:p>
      <w:pPr>
        <w:pStyle w:val="ListNumber"/>
        <w:spacing w:after="60"/>
      </w:pPr>
      <w:r>
        <w:rPr>
          <w:rFonts w:ascii="Liberation Sans" w:hAnsi="Liberation Sans" w:eastAsia="Liberation Sans"/>
          <w:color w:val="2E2A2C"/>
          <w:sz w:val="20"/>
        </w:rPr>
        <w:t>Interpretation der Ergebnisse.</w:t>
      </w:r>
    </w:p>
    <w:p>
      <w:pPr>
        <w:pStyle w:val="ListNumber"/>
        <w:spacing w:after="60"/>
      </w:pPr>
      <w:r>
        <w:rPr>
          <w:rFonts w:ascii="Liberation Sans" w:hAnsi="Liberation Sans" w:eastAsia="Liberation Sans"/>
          <w:color w:val="2E2A2C"/>
          <w:sz w:val="20"/>
        </w:rPr>
        <w:t>Was bedeutet das für Akteur:innen?</w:t>
      </w:r>
    </w:p>
    <w:p>
      <w:pPr>
        <w:pStyle w:val="ListNumber"/>
        <w:spacing w:after="60"/>
      </w:pPr>
      <w:r>
        <w:rPr>
          <w:rFonts w:ascii="Liberation Sans" w:hAnsi="Liberation Sans" w:eastAsia="Liberation Sans"/>
          <w:color w:val="2E2A2C"/>
          <w:sz w:val="20"/>
        </w:rPr>
        <w:t>Welche politischen Optionen gibt es?</w:t>
      </w:r>
    </w:p>
    <w:p>
      <w:pPr>
        <w:pStyle w:val="ListNumber"/>
        <w:spacing w:after="60"/>
      </w:pPr>
      <w:r>
        <w:rPr>
          <w:rFonts w:ascii="Liberation Sans" w:hAnsi="Liberation Sans" w:eastAsia="Liberation Sans"/>
          <w:color w:val="2E2A2C"/>
          <w:sz w:val="20"/>
        </w:rPr>
        <w:t>Welche Tools oder Rechner werden genutzt?</w:t>
      </w:r>
    </w:p>
    <w:p>
      <w:pPr>
        <w:pStyle w:val="ListNumber"/>
        <w:spacing w:after="60"/>
      </w:pPr>
      <w:r>
        <w:rPr>
          <w:rFonts w:ascii="Liberation Sans" w:hAnsi="Liberation Sans" w:eastAsia="Liberation Sans"/>
          <w:color w:val="2E2A2C"/>
          <w:sz w:val="20"/>
        </w:rPr>
        <w:t>Grenzen, Unsicherheiten und Missbrauchsschutz.</w:t>
      </w:r>
    </w:p>
    <w:p>
      <w:pPr>
        <w:pStyle w:val="ListNumber"/>
        <w:spacing w:after="60"/>
      </w:pPr>
      <w:r>
        <w:rPr>
          <w:rFonts w:ascii="Liberation Sans" w:hAnsi="Liberation Sans" w:eastAsia="Liberation Sans"/>
          <w:color w:val="2E2A2C"/>
          <w:sz w:val="20"/>
        </w:rPr>
        <w:t>Kurzfassung für Website, Langfassung online, Download und Druck.</w:t>
      </w:r>
    </w:p>
    <w:p>
      <w:pPr>
        <w:pStyle w:val="Heading1"/>
      </w:pPr>
      <w:r>
        <w:t>7. Politische Anschlussfähigkeit als Pflichtkapitel</w:t>
      </w:r>
    </w:p>
    <w:p>
      <w:pPr>
        <w:spacing w:after="120" w:line="259" w:lineRule="auto"/>
      </w:pPr>
      <w:r>
        <w:rPr>
          <w:rFonts w:ascii="Liberation Sans" w:hAnsi="Liberation Sans" w:eastAsia="Liberation Sans"/>
          <w:color w:val="2E2A2C"/>
          <w:sz w:val="21"/>
        </w:rPr>
        <w:t>Jede Themenseite und jedes Detailkonzept enthält künftig ein eigenes Kapitel „Politische Anschlussfähigkeit und Umsetzungsoptionen“. Es beschreibt nicht die eine wahre politische Lösung, sondern die Aufgaben des politischen Systems und mehrere legitime Ausgestaltungswege. Dadurch bleibt demokratischer Diskurs erhalten.</w:t>
      </w:r>
    </w:p>
    <w:p>
      <w:pPr>
        <w:pStyle w:val="ListBullet"/>
        <w:spacing w:after="60"/>
      </w:pPr>
      <w:r>
        <w:rPr>
          <w:rFonts w:ascii="Liberation Sans" w:hAnsi="Liberation Sans" w:eastAsia="Liberation Sans"/>
          <w:color w:val="2E2A2C"/>
          <w:sz w:val="20"/>
        </w:rPr>
        <w:t>Welche öffentliche Aufgabe entsteht aus diesem Wirkungsfeld?</w:t>
      </w:r>
    </w:p>
    <w:p>
      <w:pPr>
        <w:pStyle w:val="ListBullet"/>
        <w:spacing w:after="60"/>
      </w:pPr>
      <w:r>
        <w:rPr>
          <w:rFonts w:ascii="Liberation Sans" w:hAnsi="Liberation Sans" w:eastAsia="Liberation Sans"/>
          <w:color w:val="2E2A2C"/>
          <w:sz w:val="20"/>
        </w:rPr>
        <w:t>Welche Mindestanforderungen braucht jede politische Lösung, unabhängig von Parteipositionen?</w:t>
      </w:r>
    </w:p>
    <w:p>
      <w:pPr>
        <w:pStyle w:val="ListBullet"/>
        <w:spacing w:after="60"/>
      </w:pPr>
      <w:r>
        <w:rPr>
          <w:rFonts w:ascii="Liberation Sans" w:hAnsi="Liberation Sans" w:eastAsia="Liberation Sans"/>
          <w:color w:val="2E2A2C"/>
          <w:sz w:val="20"/>
        </w:rPr>
        <w:t>Welche Ausgestaltungsoptionen sind möglich: Marktanreize, öffentliche Infrastruktur, Regulierung, Förderung, kommunale Modelle, soziale Abfederung?</w:t>
      </w:r>
    </w:p>
    <w:p>
      <w:pPr>
        <w:pStyle w:val="ListBullet"/>
        <w:spacing w:after="60"/>
      </w:pPr>
      <w:r>
        <w:rPr>
          <w:rFonts w:ascii="Liberation Sans" w:hAnsi="Liberation Sans" w:eastAsia="Liberation Sans"/>
          <w:color w:val="2E2A2C"/>
          <w:sz w:val="20"/>
        </w:rPr>
        <w:t>Welche Zielkonflikte müssen demokratisch verhandelt werden?</w:t>
      </w:r>
    </w:p>
    <w:p>
      <w:pPr>
        <w:pStyle w:val="ListBullet"/>
        <w:spacing w:after="60"/>
      </w:pPr>
      <w:r>
        <w:rPr>
          <w:rFonts w:ascii="Liberation Sans" w:hAnsi="Liberation Sans" w:eastAsia="Liberation Sans"/>
          <w:color w:val="2E2A2C"/>
          <w:sz w:val="20"/>
        </w:rPr>
        <w:t>Welche Daten, Institutionen und Schutzmechanismen sichern Freiheit, Grundrechte und Rechtsschutz?</w:t>
      </w:r>
    </w:p>
    <w:p>
      <w:pPr>
        <w:pStyle w:val="ListBullet"/>
        <w:spacing w:after="60"/>
      </w:pPr>
      <w:r>
        <w:rPr>
          <w:rFonts w:ascii="Liberation Sans" w:hAnsi="Liberation Sans" w:eastAsia="Liberation Sans"/>
          <w:color w:val="2E2A2C"/>
          <w:sz w:val="20"/>
        </w:rPr>
        <w:t>Welche Pilotpfade ermöglichen Lernen statt Dogma?</w:t>
      </w:r>
    </w:p>
    <w:p>
      <w:pPr>
        <w:pStyle w:val="Heading1"/>
      </w:pPr>
      <w:r>
        <w:t>8. Rückwirkende Korrekturpflicht für Rang 1 bis 5</w:t>
      </w:r>
    </w:p>
    <w:p>
      <w:pPr>
        <w:spacing w:after="120" w:line="259" w:lineRule="auto"/>
      </w:pPr>
      <w:r>
        <w:rPr>
          <w:rFonts w:ascii="Liberation Sans" w:hAnsi="Liberation Sans" w:eastAsia="Liberation Sans"/>
          <w:color w:val="2E2A2C"/>
          <w:sz w:val="21"/>
        </w:rPr>
        <w:t>Für die bisherigen Bereiche Produkte &amp; Konsum, Impact Controlling, Staat/Recht/Demokratie, Wirtschaft &amp; Unternehmen sowie Wohnen &amp; Stadt sind kurze 2-Seiten-Unterbereichsdokumente durch vollständige Detailkonzepte und Einzeldossiers zu ersetzen. Bestehende Kurzfassungen können als Executive Summary erhalten bleiben, dürfen aber nicht als vollständige Ausarbeitung gelten.</w:t>
      </w:r>
    </w:p>
    <w:tbl>
      <w:tblPr>
        <w:tblW w:type="auto" w:w="0"/>
        <w:jc w:val="center"/>
        <w:tblLook w:firstColumn="1" w:firstRow="1" w:lastColumn="0" w:lastRow="0" w:noHBand="0" w:noVBand="1" w:val="04A0"/>
      </w:tblPr>
      <w:tblGrid>
        <w:gridCol w:w="3389"/>
        <w:gridCol w:w="3389"/>
        <w:gridCol w:w="3389"/>
      </w:tblGrid>
      <w:tr>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Rang</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Bereich</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Nachzuarbeitende Detailkonzepte</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Rang 1</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Produkte &amp; Konsum</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Produktwirkung, Wirkungsumsatzsteuer, Scorecards, WÖk-IDs, Reverse Merit Order, Lieferketten, Verbraucherinformation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Rang 2</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Impact Controlling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T-SROI, NWI, WÖk-IDs, Scorecards, Benchmarks, Datenqualität, digitale Produktpässe</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Rang 3</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Staat, Recht &amp; Demokratie</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WStG, WUStG, WEstG, Wirkungshaushalt, Wirkungsrat, Rechtsschutz, politische Wirkungsprüfung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Rang 4</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Wirtschaft &amp; Unternehmen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Unternehmensführung, Mitarbeiterführung, Risikomanagement, Marketing, resiliente Wertschöpfung, Governance</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Rang 5</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Wohnen &amp; Stadt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Mietwirkung, WIX-Wohn, Sanierung, Eigentum, Boden, Quartier, kommunale Wohnwirkungspolitik</w:t>
            </w:r>
          </w:p>
        </w:tc>
      </w:tr>
    </w:tbl>
    <w:p/>
    <w:p>
      <w:pPr>
        <w:pStyle w:val="Heading1"/>
      </w:pPr>
      <w:r>
        <w:t>9. Sanitizing-Check vor Veröffentlichung</w:t>
      </w:r>
    </w:p>
    <w:p>
      <w:pPr>
        <w:pStyle w:val="ListBullet"/>
        <w:spacing w:after="60"/>
      </w:pPr>
      <w:r>
        <w:rPr>
          <w:rFonts w:ascii="Liberation Sans" w:hAnsi="Liberation Sans" w:eastAsia="Liberation Sans"/>
          <w:color w:val="2E2A2C"/>
          <w:sz w:val="20"/>
        </w:rPr>
        <w:t>Suche nach: CodeX, Codex, Repository, Build, Sitemap aktualisieren, Dateien anlegen, bitte prüfen, interner Auftrag, Prompt, Toolaufruf, Python, ChatGPT, KI-Anweisung.</w:t>
      </w:r>
    </w:p>
    <w:p>
      <w:pPr>
        <w:pStyle w:val="ListBullet"/>
        <w:spacing w:after="60"/>
      </w:pPr>
      <w:r>
        <w:rPr>
          <w:rFonts w:ascii="Liberation Sans" w:hAnsi="Liberation Sans" w:eastAsia="Liberation Sans"/>
          <w:color w:val="2E2A2C"/>
          <w:sz w:val="20"/>
        </w:rPr>
        <w:t>Jeder Treffer muss entweder entfernt, in eine interne Datei verschoben oder öffentlich sinnvoll umformuliert werden.</w:t>
      </w:r>
    </w:p>
    <w:p>
      <w:pPr>
        <w:pStyle w:val="ListBullet"/>
        <w:spacing w:after="60"/>
      </w:pPr>
      <w:r>
        <w:rPr>
          <w:rFonts w:ascii="Liberation Sans" w:hAnsi="Liberation Sans" w:eastAsia="Liberation Sans"/>
          <w:color w:val="2E2A2C"/>
          <w:sz w:val="20"/>
        </w:rPr>
        <w:t>Website-Texte dürfen keine Umsetzungsaufforderungen enthalten. Sie erklären Inhalte, nicht Arbeitsprozesse.</w:t>
      </w:r>
    </w:p>
    <w:p>
      <w:pPr>
        <w:pStyle w:val="ListBullet"/>
        <w:spacing w:after="60"/>
      </w:pPr>
      <w:r>
        <w:rPr>
          <w:rFonts w:ascii="Liberation Sans" w:hAnsi="Liberation Sans" w:eastAsia="Liberation Sans"/>
          <w:color w:val="2E2A2C"/>
          <w:sz w:val="20"/>
        </w:rPr>
        <w:t>Downloadbereiche zeigen öffentliche Dateien; interne CodeX-Anweisungen erscheinen nicht im öffentlichen Downloadregister.</w:t>
      </w:r>
    </w:p>
    <w:p>
      <w:pPr>
        <w:pStyle w:val="ListBullet"/>
        <w:spacing w:after="60"/>
      </w:pPr>
      <w:r>
        <w:rPr>
          <w:rFonts w:ascii="Liberation Sans" w:hAnsi="Liberation Sans" w:eastAsia="Liberation Sans"/>
          <w:color w:val="2E2A2C"/>
          <w:sz w:val="20"/>
        </w:rPr>
        <w:t>Jede öffentliche Seite hat einen Druckbutton und Downloadlink, aber keine technischen Arbeitsnotizen.</w:t>
      </w:r>
    </w:p>
    <w:p>
      <w:pPr>
        <w:pStyle w:val="Heading1"/>
      </w:pPr>
      <w:r>
        <w:t>10. Quellen- und Buchankerlogik</w:t>
      </w:r>
    </w:p>
    <w:p>
      <w:pPr>
        <w:spacing w:after="120" w:line="259" w:lineRule="auto"/>
      </w:pPr>
      <w:r>
        <w:rPr>
          <w:rFonts w:ascii="Liberation Sans" w:hAnsi="Liberation Sans" w:eastAsia="Liberation Sans"/>
          <w:color w:val="2E2A2C"/>
          <w:sz w:val="21"/>
        </w:rPr>
        <w:t>Grundlage aller Inhalte ist das aktuelle Buch „Die neue Ordnung des Wohlstands“ von Natalie Weber, der führende Begriffsleitfaden, das Systemmodell und die jeweiligen Arbeitspapiere. Die Website nutzt Buchanker nicht als Ersatz für Volltext, sondern als inhaltliche Wirbelsäule. Externe Quellen dienen der Anschlussfähigkeit, insbesondere UN-SDGs, UN-Indikatoren, CSRD/ESRS, EFRAG, GRI, Eurostat, Destatis und nationale Rechtsrahmen.</w:t>
      </w:r>
    </w:p>
    <w:sectPr w:rsidR="00FC693F" w:rsidRPr="0006063C" w:rsidSect="00034616">
      <w:footerReference w:type="default" r:id="rId9"/>
      <w:pgSz w:w="12240" w:h="15840"/>
      <w:pgMar w:top="1037"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eastAsia="Liberation Sans"/>
        <w:color w:val="777777"/>
        <w:sz w:val="16"/>
      </w:rPr>
      <w:t>Wirkungsökonomie - Natalie Weber - öffentliche Arbeitsfassung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Liberation Sans" w:hAnsi="Liberation Sans" w:eastAsia="Liberation Sans"/>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Liberation Serif" w:hAnsi="Liberation Serif" w:eastAsia="Liberation Serif"/>
      <w:b/>
      <w:bCs/>
      <w:color w:val="0B10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Liberation Serif" w:hAnsi="Liberation Serif" w:eastAsia="Liberation Serif"/>
      <w:b/>
      <w:bCs/>
      <w:color w:val="0B10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Liberation Sans" w:hAnsi="Liberation Sans" w:eastAsia="Liberation Sans"/>
      <w:b/>
      <w:bCs/>
      <w:color w:val="2B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erif" w:hAnsi="Liberation Serif" w:eastAsia="Liberation Serif"/>
      <w:b/>
      <w:color w:val="0B103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woek_publikationsstandard_detailkonzepte_dossiers_v0_3</dc:title>
  <dc:subject>Wirkungsökonomie</dc:subject>
  <dc:creator>Natalie Weber</dc:creator>
  <cp:keywords>Wirkungsökonomie, Natalie Weber, Wirkung statt Kapital, Mensch Planet Demokratie</cp:keywords>
  <dc:description>generated by python-docx</dc:description>
  <cp:lastModifiedBy/>
  <cp:revision>1</cp:revision>
  <dcterms:created xsi:type="dcterms:W3CDTF">2013-12-23T23:15:00Z</dcterms:created>
  <dcterms:modified xsi:type="dcterms:W3CDTF">2013-12-23T23:15:00Z</dcterms:modified>
  <cp:category/>
</cp:coreProperties>
</file>