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B132B"/>
          <w:sz w:val="36"/>
        </w:rPr>
        <w:t>WIRKUNGSÖKONOMIE</w:t>
      </w:r>
    </w:p>
    <w:p>
      <w:r>
        <w:rPr>
          <w:rFonts w:ascii="Arial" w:hAnsi="Arial"/>
          <w:b/>
          <w:color w:val="C89B3C"/>
          <w:sz w:val="20"/>
        </w:rPr>
        <w:t>Für Mensch, Planet und Demokratie.</w:t>
      </w:r>
    </w:p>
    <w:p/>
    <w:p>
      <w:pPr>
        <w:pStyle w:val="Title"/>
      </w:pPr>
      <w:r>
        <w:t>Rente &amp; soziale Sicherung</w:t>
      </w:r>
    </w:p>
    <w:p>
      <w:r>
        <w:rPr>
          <w:rFonts w:ascii="Georgia" w:hAnsi="Georgia"/>
          <w:color w:val="2B7D5C"/>
          <w:sz w:val="30"/>
        </w:rPr>
        <w:t>Umfangreiche Detailkonzepte zu Wirkungsrente, Lebenswirkung, Fonds und Übergang</w:t>
      </w:r>
    </w:p>
    <w:p>
      <w:r>
        <w:rPr>
          <w:rFonts w:ascii="Arial" w:hAnsi="Arial"/>
          <w:b/>
          <w:color w:val="C89B3C"/>
          <w:sz w:val="22"/>
        </w:rPr>
        <w:t>Detailkonzept-Set</w:t>
      </w:r>
    </w:p>
    <w:p/>
    <w:tbl>
      <w:tblPr>
        <w:tblW w:type="auto" w:w="0"/>
        <w:jc w:val="left"/>
        <w:tblLayout w:type="autofit"/>
        <w:tblLook w:firstColumn="1" w:firstRow="1" w:lastColumn="0" w:lastRow="0" w:noHBand="0" w:noVBand="1" w:val="04A0"/>
      </w:tblPr>
      <w:tblGrid>
        <w:gridCol w:w="5100"/>
        <w:gridCol w:w="5100"/>
      </w:tblGrid>
      <w:tr>
        <w:tc>
          <w:tcPr>
            <w:tcW w:type="dxa" w:w="5100"/>
            <w:vAlign w:val="top"/>
            <w:shd w:fill="F6F1E8"/>
          </w:tcPr>
          <w:p>
            <w:r/>
            <w:r>
              <w:rPr>
                <w:rFonts w:ascii="Arial" w:hAnsi="Arial"/>
                <w:b/>
                <w:color w:val="0B132B"/>
                <w:sz w:val="17"/>
              </w:rPr>
              <w:t>Autorin</w:t>
            </w:r>
          </w:p>
        </w:tc>
        <w:tc>
          <w:tcPr>
            <w:tcW w:type="dxa" w:w="5100"/>
            <w:vAlign w:val="top"/>
          </w:tcPr>
          <w:p>
            <w:r/>
            <w:r>
              <w:rPr>
                <w:rFonts w:ascii="Arial" w:hAnsi="Arial"/>
                <w:b w:val="0"/>
                <w:sz w:val="17"/>
              </w:rPr>
              <w:t>Natalie Weber</w:t>
            </w:r>
          </w:p>
        </w:tc>
      </w:tr>
      <w:tr>
        <w:tc>
          <w:tcPr>
            <w:tcW w:type="dxa" w:w="5100"/>
            <w:vAlign w:val="top"/>
            <w:shd w:fill="F6F1E8"/>
          </w:tcPr>
          <w:p>
            <w:r/>
            <w:r>
              <w:rPr>
                <w:rFonts w:ascii="Arial" w:hAnsi="Arial"/>
                <w:b/>
                <w:color w:val="0B132B"/>
                <w:sz w:val="17"/>
              </w:rPr>
              <w:t>Referenz</w:t>
            </w:r>
          </w:p>
        </w:tc>
        <w:tc>
          <w:tcPr>
            <w:tcW w:type="dxa" w:w="5100"/>
            <w:vAlign w:val="top"/>
          </w:tcPr>
          <w:p>
            <w:r/>
            <w:r>
              <w:rPr>
                <w:rFonts w:ascii="Arial" w:hAnsi="Arial"/>
                <w:b w:val="0"/>
                <w:sz w:val="17"/>
              </w:rPr>
              <w:t>Wirkungsökonomie</w:t>
            </w:r>
          </w:p>
        </w:tc>
      </w:tr>
      <w:tr>
        <w:tc>
          <w:tcPr>
            <w:tcW w:type="dxa" w:w="5100"/>
            <w:vAlign w:val="top"/>
            <w:shd w:fill="F6F1E8"/>
          </w:tcPr>
          <w:p>
            <w:r/>
            <w:r>
              <w:rPr>
                <w:rFonts w:ascii="Arial" w:hAnsi="Arial"/>
                <w:b/>
                <w:color w:val="0B132B"/>
                <w:sz w:val="17"/>
              </w:rPr>
              <w:t>Version</w:t>
            </w:r>
          </w:p>
        </w:tc>
        <w:tc>
          <w:tcPr>
            <w:tcW w:type="dxa" w:w="5100"/>
            <w:vAlign w:val="top"/>
          </w:tcPr>
          <w:p>
            <w:r/>
            <w:r>
              <w:rPr>
                <w:rFonts w:ascii="Arial" w:hAnsi="Arial"/>
                <w:b w:val="0"/>
                <w:sz w:val="17"/>
              </w:rPr>
              <w:t>v0.1</w:t>
            </w:r>
          </w:p>
        </w:tc>
      </w:tr>
      <w:tr>
        <w:tc>
          <w:tcPr>
            <w:tcW w:type="dxa" w:w="5100"/>
            <w:vAlign w:val="top"/>
            <w:shd w:fill="F6F1E8"/>
          </w:tcPr>
          <w:p>
            <w:r/>
            <w:r>
              <w:rPr>
                <w:rFonts w:ascii="Arial" w:hAnsi="Arial"/>
                <w:b/>
                <w:color w:val="0B132B"/>
                <w:sz w:val="17"/>
              </w:rPr>
              <w:t>Status</w:t>
            </w:r>
          </w:p>
        </w:tc>
        <w:tc>
          <w:tcPr>
            <w:tcW w:type="dxa" w:w="5100"/>
            <w:vAlign w:val="top"/>
          </w:tcPr>
          <w:p>
            <w:r/>
            <w:r>
              <w:rPr>
                <w:rFonts w:ascii="Arial" w:hAnsi="Arial"/>
                <w:b w:val="0"/>
                <w:sz w:val="17"/>
              </w:rPr>
              <w:t>Diskussionsfassung</w:t>
            </w:r>
          </w:p>
        </w:tc>
      </w:tr>
      <w:tr>
        <w:tc>
          <w:tcPr>
            <w:tcW w:type="dxa" w:w="5100"/>
            <w:vAlign w:val="top"/>
            <w:shd w:fill="F6F1E8"/>
          </w:tcPr>
          <w:p>
            <w:r/>
            <w:r>
              <w:rPr>
                <w:rFonts w:ascii="Arial" w:hAnsi="Arial"/>
                <w:b/>
                <w:color w:val="0B132B"/>
                <w:sz w:val="17"/>
              </w:rPr>
              <w:t>Stand</w:t>
            </w:r>
          </w:p>
        </w:tc>
        <w:tc>
          <w:tcPr>
            <w:tcW w:type="dxa" w:w="5100"/>
            <w:vAlign w:val="top"/>
          </w:tcPr>
          <w:p>
            <w:r/>
            <w:r>
              <w:rPr>
                <w:rFonts w:ascii="Arial" w:hAnsi="Arial"/>
                <w:b w:val="0"/>
                <w:sz w:val="17"/>
              </w:rPr>
              <w:t>24. Mai 2026</w:t>
            </w:r>
          </w:p>
        </w:tc>
      </w:tr>
      <w:tr>
        <w:tc>
          <w:tcPr>
            <w:tcW w:type="dxa" w:w="5100"/>
            <w:vAlign w:val="top"/>
            <w:shd w:fill="F6F1E8"/>
          </w:tcPr>
          <w:p>
            <w:r/>
            <w:r>
              <w:rPr>
                <w:rFonts w:ascii="Arial" w:hAnsi="Arial"/>
                <w:b/>
                <w:color w:val="0B132B"/>
                <w:sz w:val="17"/>
              </w:rPr>
              <w:t>Öffentlichkeit</w:t>
            </w:r>
          </w:p>
        </w:tc>
        <w:tc>
          <w:tcPr>
            <w:tcW w:type="dxa" w:w="5100"/>
            <w:vAlign w:val="top"/>
          </w:tcPr>
          <w:p>
            <w:r/>
            <w:r>
              <w:rPr>
                <w:rFonts w:ascii="Arial" w:hAnsi="Arial"/>
                <w:b w:val="0"/>
                <w:sz w:val="17"/>
              </w:rPr>
              <w:t>Online lesbar und als Download verfügbar</w:t>
            </w:r>
          </w:p>
        </w:tc>
      </w:tr>
    </w:tbl>
    <w:p/>
    <w:p>
      <w:r>
        <w:rPr>
          <w:i/>
          <w:color w:val="6B6F73"/>
          <w:sz w:val="18"/>
        </w:rPr>
        <w:t>Leitformel: Wirkung ist neutral und relational. Bewertet wird sie am Referenzrahmen der SDGs, der Agenda 2030 und SDG+. Ziel ist positive Netto-Wirkung für Mensch, Planet und Demokratie.</w:t>
      </w:r>
    </w:p>
    <w:p>
      <w:r>
        <w:br w:type="page"/>
      </w:r>
    </w:p>
    <w:p>
      <w:pPr>
        <w:pStyle w:val="Heading1"/>
      </w:pPr>
      <w:r>
        <w:t>Inhaltslogik</w:t>
      </w:r>
    </w:p>
    <w:p>
      <w:r>
        <w:t>Dieses Dokument ist als öffentliche Arbeits- und Diskussionsfassung angelegt. Es enthält ausschließlich fachliche Publikationsinhalte. Die Kapitel sind so strukturiert, dass sie als Online-Volltext mit Ankern, Dossier-Download, Druckfunktion, SDG-/SDG+-Bezug und Buchankern veröffentlicht werden können.</w:t>
      </w:r>
    </w:p>
    <w:p>
      <w:pPr>
        <w:pStyle w:val="Heading1"/>
      </w:pPr>
      <w:r>
        <w:t>1. Wirkungsrente und neuer Generationenvertrag</w:t>
      </w:r>
    </w:p>
    <w:p>
      <w:pPr>
        <w:pStyle w:val="Heading2"/>
      </w:pPr>
      <w:r>
        <w:t>1. Zweck und Abgrenzung</w:t>
      </w:r>
    </w:p>
    <w:p>
      <w:r>
        <w:t>Dieses Detailkonzept beschreibt den Unterbereich "Wirkungsrente und neuer Generationenvertrag"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Das bestehende Rentensystem koppelt Sicherheit im Alter stark an Erwerbsbiografie, Einkommen und Beitragsjahre. Dadurch erscheinen Care-Arbeit, Bildung, Pflege, Ehrenamt, Prävention, Transformation und demokratisches Engagement zu oft als Randzeiten oder Lücken, obwohl sie gesellschaftliche Stabilität tragen.</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Die Wirkungsrente denkt Generationenvertrag als Wirkungskreislauf: Die Wirkenden sichern die Zukunft der Wirkenden. Rente wird nicht nur als Auszahlung vergangener Beiträge verstanden, sondern als Anerkennung und Stabilisierung eines lebenslangen Wirkungsbeitrags.</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Generationengerechtigkeit ohne Generationenkampf</w:t>
      </w:r>
    </w:p>
    <w:p>
      <w:r>
        <w:t>Dieser Abschnitt untersucht generationengerechtigkeit ohne generationenkampf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Wirkung statt bloßer Beitragsbiografie</w:t>
      </w:r>
    </w:p>
    <w:p>
      <w:r>
        <w:t>Dieser Abschnitt untersucht wirkung statt bloßer beitragsbiografie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Rente als Vertrauensarchitektur</w:t>
      </w:r>
    </w:p>
    <w:p>
      <w:r>
        <w:t>Dieser Abschnitt untersucht rente als vertrauensarchitektur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Vom Umlagesystem zum lernenden Wirkungskreislauf</w:t>
      </w:r>
    </w:p>
    <w:p>
      <w:r>
        <w:t>Dieser Abschnitt untersucht vom umlagesystem zum lernenden wirkungskreislauf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Politische Ausgestaltungsspielräume</w:t>
      </w:r>
    </w:p>
    <w:p>
      <w:r>
        <w:t>Dieser Abschnitt untersucht politische ausgestaltungsspielräume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1, SDG 3, SDG 8, SDG 10, SDG 16, SDG 17, SDG+ institutionelles Vertrauen, SDG+ gesellschaftlicher Zusammenhalt</w:t>
      </w:r>
    </w:p>
    <w:p>
      <w:pPr>
        <w:pStyle w:val="Heading2"/>
      </w:pPr>
      <w:r>
        <w:t>10. Online-Umsetzung</w:t>
      </w:r>
    </w:p>
    <w:p>
      <w:r>
        <w:t>Dieses Detailkonzept sollte online unter /wirkungsfelder/rente-soziale-sicherung/wirkungsrente-generationenvertrag/ veröffentlicht werden. Die Seite benötigt Inhaltsverzeichnis, Kapitelanker, Dossier-Download, Kontext-Werkzeuge, Buchanker, SDG-/SDG+-Referenzblock und Druckfunktion.</w:t>
      </w:r>
    </w:p>
    <w:p>
      <w:r>
        <w:br w:type="page"/>
      </w:r>
    </w:p>
    <w:p>
      <w:pPr>
        <w:pStyle w:val="Heading1"/>
      </w:pPr>
      <w:r>
        <w:t>2. Basisrente, Würdesicherung und soziale Teilhabe</w:t>
      </w:r>
    </w:p>
    <w:p>
      <w:pPr>
        <w:pStyle w:val="Heading2"/>
      </w:pPr>
      <w:r>
        <w:t>1. Zweck und Abgrenzung</w:t>
      </w:r>
    </w:p>
    <w:p>
      <w:r>
        <w:t>Dieses Detailkonzept beschreibt den Unterbereich "Basisrente, Würdesicherung und soziale Teilhabe"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Altersarmut und Unsicherheit entstehen dort, wo Alterssicherung zu stark an Markteinkommen gekoppelt bleibt. Wer lange Care leistet, prekär arbeitet oder von Strukturwandel betroffen ist, kann trotz hoher Lebenswirkung geringe Rentenansprüche haben.</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Eine wirkungsökonomische Basisrente schützt Würde und Teilhabe unabhängig davon, ob Lebensleistung in hohe Einkommen übersetzt wurde. Sie ist kein Almosen, sondern die untere Stabilitätsebene eines demokratischen Gemeinwesens.</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Würdegrenze statt bloßer Mindestsicherung</w:t>
      </w:r>
    </w:p>
    <w:p>
      <w:r>
        <w:t>Dieser Abschnitt untersucht würdegrenze statt bloßer mindestsicherung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Teilhabe im Alter als gesellschaftliche Infrastruktur</w:t>
      </w:r>
    </w:p>
    <w:p>
      <w:r>
        <w:t>Dieser Abschnitt untersucht teilhabe im alter als gesellschaftliche infrastruktur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Verbindung zu Grundsicherung und Pflege</w:t>
      </w:r>
    </w:p>
    <w:p>
      <w:r>
        <w:t>Dieser Abschnitt untersucht verbindung zu grundsicherung und pflege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Schutz vor verdeckter Altersarmut</w:t>
      </w:r>
    </w:p>
    <w:p>
      <w:r>
        <w:t>Dieser Abschnitt untersucht schutz vor verdeckter altersarmut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Finanzierung und politische Spielräume</w:t>
      </w:r>
    </w:p>
    <w:p>
      <w:r>
        <w:t>Dieser Abschnitt untersucht finanzierung und politische spielräume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1, SDG 3, SDG 10, SDG 16, SDG+ gesellschaftlicher Zusammenhalt</w:t>
      </w:r>
    </w:p>
    <w:p>
      <w:pPr>
        <w:pStyle w:val="Heading2"/>
      </w:pPr>
      <w:r>
        <w:t>10. Online-Umsetzung</w:t>
      </w:r>
    </w:p>
    <w:p>
      <w:r>
        <w:t>Dieses Detailkonzept sollte online unter /wirkungsfelder/rente-soziale-sicherung/basisrente-wuerdesicherung/ veröffentlicht werden. Die Seite benötigt Inhaltsverzeichnis, Kapitelanker, Dossier-Download, Kontext-Werkzeuge, Buchanker, SDG-/SDG+-Referenzblock und Druckfunktion.</w:t>
      </w:r>
    </w:p>
    <w:p>
      <w:r>
        <w:br w:type="page"/>
      </w:r>
    </w:p>
    <w:p>
      <w:pPr>
        <w:pStyle w:val="Heading1"/>
      </w:pPr>
      <w:r>
        <w:t>3. Lebenswirkungs-Konto und Wirkungsbiografie</w:t>
      </w:r>
    </w:p>
    <w:p>
      <w:pPr>
        <w:pStyle w:val="Heading2"/>
      </w:pPr>
      <w:r>
        <w:t>1. Zweck und Abgrenzung</w:t>
      </w:r>
    </w:p>
    <w:p>
      <w:r>
        <w:t>Dieses Detailkonzept beschreibt den Unterbereich "Lebenswirkungs-Konto und Wirkungsbiografie"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Lebensläufe werden rentenrechtlich häufig als Beitrags-, Versicherungs- und Lückenbiografien gelesen. Diese Sicht erkennt Tätigkeiten nur unvollständig, die nicht gut bezahlt sind, aber Zustände verbessern.</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Das Lebenswirkungs-Konto macht Wirkung über den Lebenslauf sichtbar, ohne Menschen zu bewerten. Es dokumentiert anerkannte Wirkungsräume, Qualifikationen, Care-Zeiten, Engagement, Transformationsbeiträge und Belastungen als Grundlage für Transparenz und Fairness.</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Was gespeichert wird - und was nicht</w:t>
      </w:r>
    </w:p>
    <w:p>
      <w:r>
        <w:t>Dieser Abschnitt untersucht was gespeichert wird - und was nicht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Keine Personenbewertung, kein Social Credit</w:t>
      </w:r>
    </w:p>
    <w:p>
      <w:r>
        <w:t>Dieser Abschnitt untersucht keine personenbewertung, kein social credit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Anerkennungsfelder und Nachweise</w:t>
      </w:r>
    </w:p>
    <w:p>
      <w:r>
        <w:t>Dieser Abschnitt untersucht anerkennungsfelder und nachweise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Datenschutz und Recht auf Korrektur</w:t>
      </w:r>
    </w:p>
    <w:p>
      <w:r>
        <w:t>Dieser Abschnitt untersucht datenschutz und recht auf korrektur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Online- und Offline-Zugänglichkeit</w:t>
      </w:r>
    </w:p>
    <w:p>
      <w:r>
        <w:t>Dieser Abschnitt untersucht online- und offline-zugänglichkeit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4, SDG 5, SDG 8, SDG 10, SDG 16, SDG+ digitale Selbstbestimmung</w:t>
      </w:r>
    </w:p>
    <w:p>
      <w:pPr>
        <w:pStyle w:val="Heading2"/>
      </w:pPr>
      <w:r>
        <w:t>10. Online-Umsetzung</w:t>
      </w:r>
    </w:p>
    <w:p>
      <w:r>
        <w:t>Dieses Detailkonzept sollte online unter /wirkungsfelder/rente-soziale-sicherung/lebenswirkungs-konto/ veröffentlicht werden. Die Seite benötigt Inhaltsverzeichnis, Kapitelanker, Dossier-Download, Kontext-Werkzeuge, Buchanker, SDG-/SDG+-Referenzblock und Druckfunktion.</w:t>
      </w:r>
    </w:p>
    <w:p>
      <w:r>
        <w:br w:type="page"/>
      </w:r>
    </w:p>
    <w:p>
      <w:pPr>
        <w:pStyle w:val="Heading1"/>
      </w:pPr>
      <w:r>
        <w:t>4. Lebenswirkungs-Faktor und Berechnungslogik</w:t>
      </w:r>
    </w:p>
    <w:p>
      <w:pPr>
        <w:pStyle w:val="Heading2"/>
      </w:pPr>
      <w:r>
        <w:t>1. Zweck und Abgrenzung</w:t>
      </w:r>
    </w:p>
    <w:p>
      <w:r>
        <w:t>Dieses Detailkonzept beschreibt den Unterbereich "Lebenswirkungs-Faktor und Berechnungslogik"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Die heutige Rentenformel rechnet Beiträge präzise, aber Wirkung nur indirekt. Sie kann nicht erklären, warum gesellschaftlich unverzichtbare Tätigkeiten im Alter oft schlechter abgesichert sind als hoch bezahlte, aber wirkungsambivalente Tätigkeiten.</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Der Lebenswirkungs-Faktor ergänzt die klassische Rentenlogik um eine begrenzte, transparente und überprüfbare Wirkungslogik. Er erhöht nicht beliebig, sondern korrigiert erkennbare Wirkungslücken, ohne die Würdegrenze zu unterschreiten.</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Arbeitsannahme v0.1 der Formel</w:t>
      </w:r>
    </w:p>
    <w:p>
      <w:r>
        <w:t>Dieser Abschnitt untersucht arbeitsannahme v0.1 der formel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Schutzkorridore und Begrenzungen</w:t>
      </w:r>
    </w:p>
    <w:p>
      <w:r>
        <w:t>Dieser Abschnitt untersucht schutzkorridore und begrenzungen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Positive, negative und neutrale Wirkung</w:t>
      </w:r>
    </w:p>
    <w:p>
      <w:r>
        <w:t>Dieser Abschnitt untersucht positive, negative und neutrale wirkung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Nicht-Kompensation bei roten Linien</w:t>
      </w:r>
    </w:p>
    <w:p>
      <w:r>
        <w:t>Dieser Abschnitt untersucht nicht-kompensation bei roten linien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Beispielrechnung und Unsicherheit</w:t>
      </w:r>
    </w:p>
    <w:p>
      <w:r>
        <w:t>Dieser Abschnitt untersucht beispielrechnung und unsicherheit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1, SDG 8, SDG 10, SDG 16, SDG+ Rechtsstaatlichkeit</w:t>
      </w:r>
    </w:p>
    <w:p>
      <w:pPr>
        <w:pStyle w:val="Heading2"/>
      </w:pPr>
      <w:r>
        <w:t>10. Online-Umsetzung</w:t>
      </w:r>
    </w:p>
    <w:p>
      <w:r>
        <w:t>Dieses Detailkonzept sollte online unter /wirkungsfelder/rente-soziale-sicherung/lebenswirkungs-faktor/ veröffentlicht werden. Die Seite benötigt Inhaltsverzeichnis, Kapitelanker, Dossier-Download, Kontext-Werkzeuge, Buchanker, SDG-/SDG+-Referenzblock und Druckfunktion.</w:t>
      </w:r>
    </w:p>
    <w:p>
      <w:r>
        <w:br w:type="page"/>
      </w:r>
    </w:p>
    <w:p>
      <w:pPr>
        <w:pStyle w:val="Heading1"/>
      </w:pPr>
      <w:r>
        <w:t>5. Care, Bildung, Pflege, Ehrenamt und Wirkleistung</w:t>
      </w:r>
    </w:p>
    <w:p>
      <w:pPr>
        <w:pStyle w:val="Heading2"/>
      </w:pPr>
      <w:r>
        <w:t>1. Zweck und Abgrenzung</w:t>
      </w:r>
    </w:p>
    <w:p>
      <w:r>
        <w:t>Dieses Detailkonzept beschreibt den Unterbereich "Care, Bildung, Pflege, Ehrenamt und Wirkleistung"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Care, Bildung, Pflege, Ehrenamt, kulturelle Arbeit und demokratisches Engagement erzeugen Stabilität, werden aber oft schlechter bezahlt oder gar nicht entlohnt. Das erzeugt Rentenlücken und schwächt Vertrauen in das Leistungsprinzip.</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Die Wirkungsrente erkennt nicht-marktliche und unterbewertete Wirkleistung als systemische Leistung an. Sie unterscheidet dabei zwischen echter Wirkleistung, bloßer Aktivität und symbolischer Behauptung.</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Care als Infrastrukturleistung</w:t>
      </w:r>
    </w:p>
    <w:p>
      <w:r>
        <w:t>Dieser Abschnitt untersucht care als infrastrukturleistung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Bildung und Prävention als Zukunftswirkung</w:t>
      </w:r>
    </w:p>
    <w:p>
      <w:r>
        <w:t>Dieser Abschnitt untersucht bildung und prävention als zukunftswirkung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Ehrenamt und Demokratiearbeit</w:t>
      </w:r>
    </w:p>
    <w:p>
      <w:r>
        <w:t>Dieser Abschnitt untersucht ehrenamt und demokratiearbeit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Nachweise ohne Bürokratiewut</w:t>
      </w:r>
    </w:p>
    <w:p>
      <w:r>
        <w:t>Dieser Abschnitt untersucht nachweise ohne bürokratiewut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Gender Pension Gap und Care-Gerechtigkeit</w:t>
      </w:r>
    </w:p>
    <w:p>
      <w:r>
        <w:t>Dieser Abschnitt untersucht gender pension gap und care-gerechtigkeit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3, SDG 4, SDG 5, SDG 10, SDG 16, SDG+ Demokratie</w:t>
      </w:r>
    </w:p>
    <w:p>
      <w:pPr>
        <w:pStyle w:val="Heading2"/>
      </w:pPr>
      <w:r>
        <w:t>10. Online-Umsetzung</w:t>
      </w:r>
    </w:p>
    <w:p>
      <w:r>
        <w:t>Dieses Detailkonzept sollte online unter /wirkungsfelder/rente-soziale-sicherung/care-bildung-ehrenamt/ veröffentlicht werden. Die Seite benötigt Inhaltsverzeichnis, Kapitelanker, Dossier-Download, Kontext-Werkzeuge, Buchanker, SDG-/SDG+-Referenzblock und Druckfunktion.</w:t>
      </w:r>
    </w:p>
    <w:p>
      <w:r>
        <w:br w:type="page"/>
      </w:r>
    </w:p>
    <w:p>
      <w:pPr>
        <w:pStyle w:val="Heading1"/>
      </w:pPr>
      <w:r>
        <w:t>6. Automatisierung, Sozialabgaben-Entkopplung und Wirkungsdividende</w:t>
      </w:r>
    </w:p>
    <w:p>
      <w:pPr>
        <w:pStyle w:val="Heading2"/>
      </w:pPr>
      <w:r>
        <w:t>1. Zweck und Abgrenzung</w:t>
      </w:r>
    </w:p>
    <w:p>
      <w:r>
        <w:t>Dieses Detailkonzept beschreibt den Unterbereich "Automatisierung, Sozialabgaben-Entkopplung und Wirkungsdividende"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Wenn Maschinen, KI und Plattformen mehr produktive Arbeit übernehmen, bricht die Kette Arbeit - Einkommen - Sozialabgaben - Rentenfinanzierung. Eine Ordnung, die soziale Sicherung an menschliche Lohnarbeit bindet, wird dadurch instabil.</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Die Wirkungsökonomie entkoppelt die Finanzierungsbasis sozialer Sicherung schrittweise von menschlicher Arbeitsleistung. Automatisierte Wertschöpfung wird nicht bestraft, sondern gesellschaftlich rückgekoppelt: in Wirkungsfonds, Wirkungsdividende und sozial stabile Übergänge.</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Warum Robotersteuer allein zu kurz greift</w:t>
      </w:r>
    </w:p>
    <w:p>
      <w:r>
        <w:t>Dieser Abschnitt untersucht warum robotersteuer allein zu kurz greift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Maschinenleistung als Wertschöpfungsquelle</w:t>
      </w:r>
    </w:p>
    <w:p>
      <w:r>
        <w:t>Dieser Abschnitt untersucht maschinenleistung als wertschöpfungsquelle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Sozialabgaben-Entkopplung</w:t>
      </w:r>
    </w:p>
    <w:p>
      <w:r>
        <w:t>Dieser Abschnitt untersucht sozialabgaben-entkopplung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Wirkungsdividende als systemischer Anspruch</w:t>
      </w:r>
    </w:p>
    <w:p>
      <w:r>
        <w:t>Dieser Abschnitt untersucht wirkungsdividende als systemischer anspruch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Übergänge für Unternehmen und Beschäftigte</w:t>
      </w:r>
    </w:p>
    <w:p>
      <w:r>
        <w:t>Dieser Abschnitt untersucht übergänge für unternehmen und beschäftigte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8, SDG 9, SDG 10, SDG 16, SDG+ institutionelles Vertrauen</w:t>
      </w:r>
    </w:p>
    <w:p>
      <w:pPr>
        <w:pStyle w:val="Heading2"/>
      </w:pPr>
      <w:r>
        <w:t>10. Online-Umsetzung</w:t>
      </w:r>
    </w:p>
    <w:p>
      <w:r>
        <w:t>Dieses Detailkonzept sollte online unter /wirkungsfelder/rente-soziale-sicherung/automatisierung-sozialabgaben/ veröffentlicht werden. Die Seite benötigt Inhaltsverzeichnis, Kapitelanker, Dossier-Download, Kontext-Werkzeuge, Buchanker, SDG-/SDG+-Referenzblock und Druckfunktion.</w:t>
      </w:r>
    </w:p>
    <w:p>
      <w:r>
        <w:br w:type="page"/>
      </w:r>
    </w:p>
    <w:p>
      <w:pPr>
        <w:pStyle w:val="Heading1"/>
      </w:pPr>
      <w:r>
        <w:t>7. Renten-Impact-Fonds und Wirkungsfondsarchitektur</w:t>
      </w:r>
    </w:p>
    <w:p>
      <w:pPr>
        <w:pStyle w:val="Heading2"/>
      </w:pPr>
      <w:r>
        <w:t>1. Zweck und Abgrenzung</w:t>
      </w:r>
    </w:p>
    <w:p>
      <w:r>
        <w:t>Dieses Detailkonzept beschreibt den Unterbereich "Renten-Impact-Fonds und Wirkungsfondsarchitektur"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Kapitalgedeckte Altersvorsorge kann alte Fehler wiederholen, wenn sie Rendite aus zerstörerischen Geschäftsmodellen bezieht. Dann finanziert Altersvorsorge die Risiken, die künftige Generationen tragen müssen.</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Wirkungsfonds investieren Kapital nach positiver Netto-Wirkung. Der Renten-Impact-Fonds wird nicht als Spekulationsinstrument verstanden, sondern als Transformations- und Stabilitätsinstrument für Bildung, Gesundheit, Wohnen, Klima, Pflege, Demokratie und Infrastruktur.</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Kapital als Werkzeug, nicht Ziel</w:t>
      </w:r>
    </w:p>
    <w:p>
      <w:r>
        <w:t>Dieser Abschnitt untersucht kapital als werkzeug, nicht ziel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Fondsquellen und Mittelverwendung</w:t>
      </w:r>
    </w:p>
    <w:p>
      <w:r>
        <w:t>Dieser Abschnitt untersucht fondsquellen und mittelverwendung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Investitionskriterien und Ausschlüsse</w:t>
      </w:r>
    </w:p>
    <w:p>
      <w:r>
        <w:t>Dieser Abschnitt untersucht investitionskriterien und ausschlüsse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Rendite als Folge positiver Wirkung</w:t>
      </w:r>
    </w:p>
    <w:p>
      <w:r>
        <w:t>Dieser Abschnitt untersucht rendite als folge positiver wirkung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Governance und Wirkungsrat</w:t>
      </w:r>
    </w:p>
    <w:p>
      <w:r>
        <w:t>Dieser Abschnitt untersucht governance und wirkungsrat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1, SDG 3, SDG 9, SDG 10, SDG 11, SDG 13, SDG 16, SDG 17</w:t>
      </w:r>
    </w:p>
    <w:p>
      <w:pPr>
        <w:pStyle w:val="Heading2"/>
      </w:pPr>
      <w:r>
        <w:t>10. Online-Umsetzung</w:t>
      </w:r>
    </w:p>
    <w:p>
      <w:r>
        <w:t>Dieses Detailkonzept sollte online unter /wirkungsfelder/rente-soziale-sicherung/renten-impact-fonds/ veröffentlicht werden. Die Seite benötigt Inhaltsverzeichnis, Kapitelanker, Dossier-Download, Kontext-Werkzeuge, Buchanker, SDG-/SDG+-Referenzblock und Druckfunktion.</w:t>
      </w:r>
    </w:p>
    <w:p>
      <w:r>
        <w:br w:type="page"/>
      </w:r>
    </w:p>
    <w:p>
      <w:pPr>
        <w:pStyle w:val="Heading1"/>
      </w:pPr>
      <w:r>
        <w:t>8. Betriebliche und private Vorsorge nach Wirkung</w:t>
      </w:r>
    </w:p>
    <w:p>
      <w:pPr>
        <w:pStyle w:val="Heading2"/>
      </w:pPr>
      <w:r>
        <w:t>1. Zweck und Abgrenzung</w:t>
      </w:r>
    </w:p>
    <w:p>
      <w:r>
        <w:t>Dieses Detailkonzept beschreibt den Unterbereich "Betriebliche und private Vorsorge nach Wirkung"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Betriebliche und private Vorsorge können individuelle Sicherheit stärken, aber auch Wirkungslücken erzeugen, wenn Kapitalanlagen nach Rendite ohne Wirkungswahrheit gesteuert werden.</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Die Wirkungsökonomie ordnet betriebliche und private Vorsorge nicht ab, sondern richtet sie neu aus: Transparente Kapitalwirkung, faire Kosten, soziale Zugänglichkeit und Resilienz werden zu Qualitätskriterien.</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Betriebsrente als Transformationsinstrument</w:t>
      </w:r>
    </w:p>
    <w:p>
      <w:r>
        <w:t>Dieser Abschnitt untersucht betriebsrente als transformationsinstrument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Private Vorsorge ohne Greenwashing</w:t>
      </w:r>
    </w:p>
    <w:p>
      <w:r>
        <w:t>Dieser Abschnitt untersucht private vorsorge ohne greenwashing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Kapitalwirkung, ESG und WÖk-IDs</w:t>
      </w:r>
    </w:p>
    <w:p>
      <w:r>
        <w:t>Dieser Abschnitt untersucht kapitalwirkung, esg und wök-ids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Versicherbarkeit und Risiko-Wahrheit</w:t>
      </w:r>
    </w:p>
    <w:p>
      <w:r>
        <w:t>Dieser Abschnitt untersucht versicherbarkeit und risiko-wahrheit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Schutz für kleine Einkommen</w:t>
      </w:r>
    </w:p>
    <w:p>
      <w:r>
        <w:t>Dieser Abschnitt untersucht schutz für kleine einkommen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8, SDG 10, SDG 12, SDG 16, SDG+ institutionelles Vertrauen</w:t>
      </w:r>
    </w:p>
    <w:p>
      <w:pPr>
        <w:pStyle w:val="Heading2"/>
      </w:pPr>
      <w:r>
        <w:t>10. Online-Umsetzung</w:t>
      </w:r>
    </w:p>
    <w:p>
      <w:r>
        <w:t>Dieses Detailkonzept sollte online unter /wirkungsfelder/rente-soziale-sicherung/betriebliche-private-vorsorge/ veröffentlicht werden. Die Seite benötigt Inhaltsverzeichnis, Kapitelanker, Dossier-Download, Kontext-Werkzeuge, Buchanker, SDG-/SDG+-Referenzblock und Druckfunktion.</w:t>
      </w:r>
    </w:p>
    <w:p>
      <w:r>
        <w:br w:type="page"/>
      </w:r>
    </w:p>
    <w:p>
      <w:pPr>
        <w:pStyle w:val="Heading1"/>
      </w:pPr>
      <w:r>
        <w:t>9. Rechtsschutz, Datenschutz und Korrekturverfahren</w:t>
      </w:r>
    </w:p>
    <w:p>
      <w:pPr>
        <w:pStyle w:val="Heading2"/>
      </w:pPr>
      <w:r>
        <w:t>1. Zweck und Abgrenzung</w:t>
      </w:r>
    </w:p>
    <w:p>
      <w:r>
        <w:t>Dieses Detailkonzept beschreibt den Unterbereich "Rechtsschutz, Datenschutz und Korrekturverfahren"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Ein System, das Lebenswirkung sichtbar macht, kann Vertrauen nur gewinnen, wenn es klare Grenzen, Rechte, Korrekturwege und Schutz vor technokratischer Verengung hat.</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Wirkungsdaten bereiten Entscheidungen vor, ersetzen sie aber nicht. Das Rentensystem braucht Transparenz, Datensparsamkeit, Einspruchsrechte, menschliche Prüfung und parlamentarische Kontrolle.</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Datensparsamkeit und Zweckbindung</w:t>
      </w:r>
    </w:p>
    <w:p>
      <w:r>
        <w:t>Dieser Abschnitt untersucht datensparsamkeit und zweckbindung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Recht auf Auskunft und Korrektur</w:t>
      </w:r>
    </w:p>
    <w:p>
      <w:r>
        <w:t>Dieser Abschnitt untersucht recht auf auskunft und korrektur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Keine automatisierte Letztentscheidung</w:t>
      </w:r>
    </w:p>
    <w:p>
      <w:r>
        <w:t>Dieser Abschnitt untersucht keine automatisierte letztentscheidung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Schutz vulnerabler Gruppen</w:t>
      </w:r>
    </w:p>
    <w:p>
      <w:r>
        <w:t>Dieser Abschnitt untersucht schutz vulnerabler gruppen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Demokratische Evaluation</w:t>
      </w:r>
    </w:p>
    <w:p>
      <w:r>
        <w:t>Dieser Abschnitt untersucht demokratische evaluation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10, SDG 16, SDG 17, SDG+ Rechtsstaatlichkeit, SDG+ digitale Selbstbestimmung</w:t>
      </w:r>
    </w:p>
    <w:p>
      <w:pPr>
        <w:pStyle w:val="Heading2"/>
      </w:pPr>
      <w:r>
        <w:t>10. Online-Umsetzung</w:t>
      </w:r>
    </w:p>
    <w:p>
      <w:r>
        <w:t>Dieses Detailkonzept sollte online unter /wirkungsfelder/rente-soziale-sicherung/recht-datenschutz-korrektur/ veröffentlicht werden. Die Seite benötigt Inhaltsverzeichnis, Kapitelanker, Dossier-Download, Kontext-Werkzeuge, Buchanker, SDG-/SDG+-Referenzblock und Druckfunktion.</w:t>
      </w:r>
    </w:p>
    <w:p>
      <w:r>
        <w:br w:type="page"/>
      </w:r>
    </w:p>
    <w:p>
      <w:pPr>
        <w:pStyle w:val="Heading1"/>
      </w:pPr>
      <w:r>
        <w:t>10. Politische Anschlussfähigkeit und Umsetzungsoptionen</w:t>
      </w:r>
    </w:p>
    <w:p>
      <w:pPr>
        <w:pStyle w:val="Heading2"/>
      </w:pPr>
      <w:r>
        <w:t>1. Zweck und Abgrenzung</w:t>
      </w:r>
    </w:p>
    <w:p>
      <w:r>
        <w:t>Dieses Detailkonzept beschreibt den Unterbereich "Politische Anschlussfähigkeit und Umsetzungsoptionen" als eigenständigen Baustein des Portals Rente &amp; soziale Sicherung. Es grenzt den Baustein von klassischen Rentenreformen ab und zeigt, wie er in die Wirkungsökonomie eingebettet wird.</w:t>
      </w:r>
    </w:p>
    <w:p>
      <w:pPr>
        <w:pStyle w:val="Heading2"/>
      </w:pPr>
      <w:r>
        <w:t>2. Alte Logik und Problemstruktur</w:t>
      </w:r>
    </w:p>
    <w:p>
      <w:r>
        <w:t>Rentenreformen scheitern oft, wenn sie als Nullsummenspiel zwischen Generationen, Parteien oder Einkommensgruppen erscheinen.</w:t>
      </w:r>
    </w:p>
    <w:p>
      <w:r>
        <w:t>Die alte Logik behandelt Rente als nachgelagerte Auszahlung aus Erwerbs- und Beitragsbiografien. Das ist verwaltungstechnisch klar, aber wirkungsökonomisch unvollständig. Denn sie übersieht, ob eine Tätigkeit Folgekosten senkt, Vertrauen stärkt, Generationen verbindet, Pflege leistet oder Transformation ermöglicht. Ein wirkungsökonomisches Detailkonzept muss deshalb zwischen Einkommen, Beschäftigung, Leistung und Wirkung unterscheiden.</w:t>
      </w:r>
    </w:p>
    <w:p>
      <w:pPr>
        <w:pStyle w:val="Heading2"/>
      </w:pPr>
      <w:r>
        <w:t>3. Wirkungsökonomischer Perspektivwechsel</w:t>
      </w:r>
    </w:p>
    <w:p>
      <w:r>
        <w:t>Die Wirkungsrente formuliert einen Rahmen, aber keinen fertigen Parteibeschluss. Parteien können unterschiedliche Wege wählen: stärker umlageorientiert, stärker fondsorientiert, stärker kommunal, stärker marktwirtschaftlich oder stärker sozialstaatlich - solange Wirkung sichtbar, überprüfbar und korrigierbar bleibt.</w:t>
      </w:r>
    </w:p>
    <w:p>
      <w:r>
        <w:t>Wirkungsökonomisch wird nicht gefragt, ob eine Person "mehr wert" ist. Gefragt wird, welche Zustände durch Lebensleistung, Institutionen und Systeme verbessert oder verschlechtert werden und wie ein soziales Sicherungssystem diese Wirklichkeit fairer abbilden kann. Dabei bleibt der Schutz vor Personenbewertung zentral.</w:t>
      </w:r>
    </w:p>
    <w:p>
      <w:pPr>
        <w:pStyle w:val="Heading2"/>
      </w:pPr>
      <w:r>
        <w:t>4. Unterkapitel und Struktur</w:t>
      </w:r>
    </w:p>
    <w:p>
      <w:pPr>
        <w:pStyle w:val="Heading3"/>
      </w:pPr>
      <w:r>
        <w:t>Parteipolitischer Ausgestaltungsspielraum</w:t>
      </w:r>
    </w:p>
    <w:p>
      <w:r>
        <w:t>Dieser Abschnitt untersucht parteipolitischer ausgestaltungsspielraum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Pilotierung und Revisionszyklen</w:t>
      </w:r>
    </w:p>
    <w:p>
      <w:r>
        <w:t>Dieser Abschnitt untersucht pilotierung und revisionszyklen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Bund, Länder, Kommunen, EU</w:t>
      </w:r>
    </w:p>
    <w:p>
      <w:r>
        <w:t>Dieser Abschnitt untersucht bund, länder, kommunen, eu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Sozialer Schutz im Übergang</w:t>
      </w:r>
    </w:p>
    <w:p>
      <w:r>
        <w:t>Dieser Abschnitt untersucht sozialer schutz im übergang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3"/>
      </w:pPr>
      <w:r>
        <w:t>Evaluation und demokratische Korrektur</w:t>
      </w:r>
    </w:p>
    <w:p>
      <w:r>
        <w:t>Dieser Abschnitt untersucht evaluation und demokratische korrektur im Zusammenhang mit Rente, sozialer Sicherung und positiver Netto-Wirkung. Er beschreibt, welche Informationen benötigt werden, welche Akteure betroffen sind, welche rechtlichen Grenzen bestehen und welche Gestaltungsspielräume politisch offen bleiben.</w:t>
      </w:r>
    </w:p>
    <w:p>
      <w:pPr>
        <w:pStyle w:val="Heading2"/>
      </w:pPr>
      <w:r>
        <w:t>5. Daten, Indikatoren und WÖk-ID-Anschluss</w:t>
      </w:r>
    </w:p>
    <w:p>
      <w:r>
        <w:t>Der Unterbereich benötigt eine Datenlogik, die aus bestehenden Quellen schöpft, aber nicht in Überwachung kippt. Mögliche Indikatorfamilien sind faire Arbeit und Einkommen, Sozialschutz, Care und Vereinbarkeit, Weiterbildung, Gesundheit, gesellschaftlicher Zusammenhalt, institutionelles Vertrauen, digitale Selbstbestimmung und Kapitalwirkung. WÖk-IDs dienen als Adresse der Wirkung, nicht als Personenetikett.</w:t>
      </w:r>
    </w:p>
    <w:p>
      <w:pPr>
        <w:pStyle w:val="Heading2"/>
      </w:pPr>
      <w:r>
        <w:t>6. Berechnungs- oder Bewertungslogik</w:t>
      </w:r>
    </w:p>
    <w:p>
      <w:r>
        <w:t>Die Bewertungslogik ist modular: Zuerst wird die Würdeebene geschützt, danach werden klassische Ansprüche gesichert, erst dann werden Wirkungsboni oder Fondsanteile ergänzt. Bei unsicheren Daten gilt ein Vorsichtsprinzip. In der Pilotphase werden positive Wirkungen sichtbar gemacht, negative Systemwirkungen primär über Unternehmens-, Produkt-, Kapital- und Steuerinstrumente rückgekoppelt.</w:t>
      </w:r>
    </w:p>
    <w:p>
      <w:pPr>
        <w:pStyle w:val="Heading2"/>
      </w:pPr>
      <w:r>
        <w:t>7. Schutzlinien</w:t>
      </w:r>
    </w:p>
    <w:p>
      <w:pPr>
        <w:pStyle w:val="ListBullet"/>
      </w:pPr>
      <w:r>
        <w:t>Keine automatische Letztentscheidung.</w:t>
      </w:r>
    </w:p>
    <w:p>
      <w:pPr>
        <w:pStyle w:val="ListBullet"/>
      </w:pPr>
      <w:r>
        <w:t>Keine Absenkung unter die Würde- und Teilhabeebene.</w:t>
      </w:r>
    </w:p>
    <w:p>
      <w:pPr>
        <w:pStyle w:val="ListBullet"/>
      </w:pPr>
      <w:r>
        <w:t>Keine pauschale Bewertung von Personen nach Branchenzugehörigkeit.</w:t>
      </w:r>
    </w:p>
    <w:p>
      <w:pPr>
        <w:pStyle w:val="ListBullet"/>
      </w:pPr>
      <w:r>
        <w:t>Datensparsamkeit und Zweckbindung.</w:t>
      </w:r>
    </w:p>
    <w:p>
      <w:pPr>
        <w:pStyle w:val="ListBullet"/>
      </w:pPr>
      <w:r>
        <w:t>Recht auf Auskunft, Korrektur und Widerspruch.</w:t>
      </w:r>
    </w:p>
    <w:p>
      <w:pPr>
        <w:pStyle w:val="ListBullet"/>
      </w:pPr>
      <w:r>
        <w:t>Parlamentarische und gerichtliche Kontrolle.</w:t>
      </w:r>
    </w:p>
    <w:p>
      <w:pPr>
        <w:pStyle w:val="Heading2"/>
      </w:pPr>
      <w:r>
        <w:t>8. Politische Anschlussfähigkeit</w:t>
      </w:r>
    </w:p>
    <w:p>
      <w:r>
        <w:t>Der Baustein ist politisch offen. Er kann konservativ als Anerkennung von Lebensleistung, sozialdemokratisch als soziale Sicherheit, liberal als Eigenverantwortung mit transparenten Anreizen, grün als Zukunftsinvestition, links als Schutz vor Altersarmut, kommunal als Teilhabeinstrument oder wirtschaftsnah als Resilienzfaktor interpretiert werden. Die Wirkungsökonomie gibt den Rahmen, nicht die parteipolitische Detailentscheidung vor.</w:t>
      </w:r>
    </w:p>
    <w:p>
      <w:pPr>
        <w:pStyle w:val="Heading2"/>
      </w:pPr>
      <w:r>
        <w:t>9. SDG-/SDG+-Bezug</w:t>
      </w:r>
    </w:p>
    <w:p>
      <w:r>
        <w:t>SDG 16, SDG 17, SDG+ Demokratie, SDG+ Diskursfähigkeit</w:t>
      </w:r>
    </w:p>
    <w:p>
      <w:pPr>
        <w:pStyle w:val="Heading2"/>
      </w:pPr>
      <w:r>
        <w:t>10. Online-Umsetzung</w:t>
      </w:r>
    </w:p>
    <w:p>
      <w:r>
        <w:t>Dieses Detailkonzept sollte online unter /wirkungsfelder/rente-soziale-sicherung/politische-umsetzung/ veröffentlicht werden. Die Seite benötigt Inhaltsverzeichnis, Kapitelanker, Dossier-Download, Kontext-Werkzeuge, Buchanker, SDG-/SDG+-Referenzblock und Druckfunktion.</w:t>
      </w:r>
    </w:p>
    <w:p>
      <w:r>
        <w:br w:type="page"/>
      </w:r>
    </w:p>
    <w:p>
      <w:pPr>
        <w:pStyle w:val="Heading1"/>
      </w:pPr>
      <w:r>
        <w:t>Quellen und Referenzen</w:t>
      </w:r>
    </w:p>
    <w:p>
      <w:r>
        <w:t>Die folgenden Quellen dienen als öffentliche und interne Referenzpunkte. Externe Links sind als Informationsquellen angegeben; die wirkungsökonomische Einordnung erfolgt im Rahmen der Wirkungsökonomie.</w:t>
      </w:r>
    </w:p>
    <w:p>
      <w:pPr>
        <w:pStyle w:val="ListBullet"/>
      </w:pPr>
      <w:r>
        <w:rPr>
          <w:b/>
        </w:rPr>
        <w:t xml:space="preserve">WÖk-Arbeitspapier Rentensystem: </w:t>
      </w:r>
      <w:r>
        <w:t>WP_Rente.pdf, Natalie Weber, 2025</w:t>
      </w:r>
    </w:p>
    <w:p>
      <w:pPr>
        <w:pStyle w:val="ListBullet"/>
      </w:pPr>
      <w:r>
        <w:rPr>
          <w:b/>
        </w:rPr>
        <w:t xml:space="preserve">Wenn Maschinen arbeiten: </w:t>
      </w:r>
      <w:r>
        <w:t>Natalie Weber, 2025</w:t>
      </w:r>
    </w:p>
    <w:p>
      <w:pPr>
        <w:pStyle w:val="ListBullet"/>
      </w:pPr>
      <w:r>
        <w:rPr>
          <w:b/>
        </w:rPr>
        <w:t xml:space="preserve">Die neue Ordnung des Wohlstands: </w:t>
      </w:r>
      <w:r>
        <w:t>Natalie Weber, 2026, Kapitel 56-58 und Exkurs SDGs</w:t>
      </w:r>
    </w:p>
    <w:p>
      <w:pPr>
        <w:pStyle w:val="ListBullet"/>
      </w:pPr>
      <w:r>
        <w:rPr>
          <w:b/>
        </w:rPr>
        <w:t xml:space="preserve">Systemmodell der Wirkungsökonomie: </w:t>
      </w:r>
      <w:r>
        <w:t>Natalie Weber, 2025, Finanzsystem &amp; Kapital / Gesellschaft &amp; Soziales</w:t>
      </w:r>
    </w:p>
    <w:p>
      <w:pPr>
        <w:pStyle w:val="ListBullet"/>
      </w:pPr>
      <w:r>
        <w:rPr>
          <w:b/>
        </w:rPr>
        <w:t xml:space="preserve">Führender Begriffsleitfaden: </w:t>
      </w:r>
      <w:r>
        <w:t>Wirkung ist neutral und relational, SDGs/Agenda2030/SDG+ als Referenzrahmen</w:t>
      </w:r>
    </w:p>
    <w:p>
      <w:pPr>
        <w:pStyle w:val="ListBullet"/>
      </w:pPr>
      <w:r>
        <w:rPr>
          <w:b/>
        </w:rPr>
        <w:t xml:space="preserve">BMAS Rentenversicherungsbericht 2025: </w:t>
      </w:r>
      <w:hyperlink r:id="rId11">
        <w:r>
          <w:rPr>
            <w:color w:val="2B7D5C"/>
            <w:u w:val="single"/>
          </w:rPr>
          <w:t>https://www.bmas.de/DE/Service/Presse/Pressemitteilungen/2025/bundeskabinett-beschliesst-rentenversicherungsbericht-2025.html</w:t>
        </w:r>
      </w:hyperlink>
    </w:p>
    <w:p>
      <w:pPr>
        <w:pStyle w:val="ListBullet"/>
      </w:pPr>
      <w:r>
        <w:rPr>
          <w:b/>
        </w:rPr>
        <w:t xml:space="preserve">Destatis Babyboomer und Erwerbspersonen 2025: </w:t>
      </w:r>
      <w:hyperlink r:id="rId12">
        <w:r>
          <w:rPr>
            <w:color w:val="2B7D5C"/>
            <w:u w:val="single"/>
          </w:rPr>
          <w:t>https://www.destatis.de/DE/Presse/Pressemitteilungen/2025/08/PD25_N048_13.html</w:t>
        </w:r>
      </w:hyperlink>
    </w:p>
    <w:p>
      <w:pPr>
        <w:pStyle w:val="ListBullet"/>
      </w:pPr>
      <w:r>
        <w:rPr>
          <w:b/>
        </w:rPr>
        <w:t xml:space="preserve">Destatis Altenquotient 2025: </w:t>
      </w:r>
      <w:hyperlink r:id="rId13">
        <w:r>
          <w:rPr>
            <w:color w:val="2B7D5C"/>
            <w:u w:val="single"/>
          </w:rPr>
          <w:t>https://www.destatis.de/DE/Themen/Querschnitt/Demografischer-Wandel/Aspekte/demografie-altenquotient.html</w:t>
        </w:r>
      </w:hyperlink>
    </w:p>
    <w:p>
      <w:pPr>
        <w:pStyle w:val="ListBullet"/>
      </w:pPr>
      <w:r>
        <w:rPr>
          <w:b/>
        </w:rPr>
        <w:t xml:space="preserve">Deutsche Rentenversicherung in Zahlen 2025: </w:t>
      </w:r>
      <w:hyperlink r:id="rId14">
        <w:r>
          <w:rPr>
            <w:color w:val="2B7D5C"/>
            <w:u w:val="single"/>
          </w:rPr>
          <w:t>https://www.deutsche-rentenversicherung.de/SharedDocs/Downloads/DE/Statistiken-und-Berichte/statistikpublikationen/rv_in_zahlen.pdf</w:t>
        </w:r>
      </w:hyperlink>
    </w:p>
    <w:p>
      <w:pPr>
        <w:pStyle w:val="ListBullet"/>
      </w:pPr>
      <w:r>
        <w:rPr>
          <w:b/>
        </w:rPr>
        <w:t xml:space="preserve">OECD Pensions at a Glance 2025: Germany: </w:t>
      </w:r>
      <w:hyperlink r:id="rId15">
        <w:r>
          <w:rPr>
            <w:color w:val="2B7D5C"/>
            <w:u w:val="single"/>
          </w:rPr>
          <w:t>https://www.oecd.org/en/publications/pensions-at-a-glance-2025-country-notes_8a53ef12-en/germany_c480c8fa-en.html</w:t>
        </w:r>
      </w:hyperlink>
    </w:p>
    <w:sectPr w:rsidR="00FC693F" w:rsidRPr="0006063C" w:rsidSect="00034616">
      <w:headerReference w:type="default" r:id="rId9"/>
      <w:footerReference w:type="default" r:id="rId10"/>
      <w:pgSz w:w="12240" w:h="15840"/>
      <w:pgMar w:top="964" w:right="1020" w:bottom="907"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777777"/>
        <w:sz w:val="14"/>
      </w:rPr>
      <w:t>Natalie Weber · Wirkungsökonomie · Version v0.1 · Stand 24.05.2026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color w:val="2B7D5C"/>
        <w:sz w:val="16"/>
      </w:rPr>
      <w:t>WIRKUNGSÖKONOMIE · Detailkonzepte Rente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Arial" w:hAnsi="Arial"/>
      <w:color w:val="242A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32B"/>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32B"/>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B132B"/>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color w:val="0B132B"/>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bmas.de/DE/Service/Presse/Pressemitteilungen/2025/bundeskabinett-beschliesst-rentenversicherungsbericht-2025.html" TargetMode="External"/><Relationship Id="rId12" Type="http://schemas.openxmlformats.org/officeDocument/2006/relationships/hyperlink" Target="https://www.destatis.de/DE/Presse/Pressemitteilungen/2025/08/PD25_N048_13.html" TargetMode="External"/><Relationship Id="rId13" Type="http://schemas.openxmlformats.org/officeDocument/2006/relationships/hyperlink" Target="https://www.destatis.de/DE/Themen/Querschnitt/Demografischer-Wandel/Aspekte/demografie-altenquotient.html" TargetMode="External"/><Relationship Id="rId14" Type="http://schemas.openxmlformats.org/officeDocument/2006/relationships/hyperlink" Target="https://www.deutsche-rentenversicherung.de/SharedDocs/Downloads/DE/Statistiken-und-Berichte/statistikpublikationen/rv_in_zahlen.pdf" TargetMode="External"/><Relationship Id="rId15" Type="http://schemas.openxmlformats.org/officeDocument/2006/relationships/hyperlink" Target="https://www.oecd.org/en/publications/pensions-at-a-glance-2025-country-notes_8a53ef12-en/germany_c480c8fa-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