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B132B"/>
          <w:sz w:val="36"/>
        </w:rPr>
        <w:t>WIRKUNGSÖKONOMIE</w:t>
      </w:r>
    </w:p>
    <w:p>
      <w:r>
        <w:rPr>
          <w:rFonts w:ascii="Arial" w:hAnsi="Arial"/>
          <w:b/>
          <w:color w:val="C89B3C"/>
          <w:sz w:val="20"/>
        </w:rPr>
        <w:t>Für Mensch, Planet und Demokratie.</w:t>
      </w:r>
    </w:p>
    <w:p/>
    <w:p>
      <w:pPr>
        <w:pStyle w:val="Title"/>
      </w:pPr>
      <w:r>
        <w:t>Rente &amp; soziale Sicherung</w:t>
      </w:r>
    </w:p>
    <w:p>
      <w:r>
        <w:rPr>
          <w:rFonts w:ascii="Georgia" w:hAnsi="Georgia"/>
          <w:color w:val="2B7D5C"/>
          <w:sz w:val="30"/>
        </w:rPr>
        <w:t>Beispiele, Berechnungslogik, Datenquellen und Umsetzung der Wirkungsrente</w:t>
      </w:r>
    </w:p>
    <w:p>
      <w:r>
        <w:rPr>
          <w:rFonts w:ascii="Arial" w:hAnsi="Arial"/>
          <w:b/>
          <w:color w:val="C89B3C"/>
          <w:sz w:val="22"/>
        </w:rPr>
        <w:t>Gesamtdossier</w:t>
      </w:r>
    </w:p>
    <w:p/>
    <w:tbl>
      <w:tblPr>
        <w:tblW w:type="auto" w:w="0"/>
        <w:jc w:val="left"/>
        <w:tblLayout w:type="autofit"/>
        <w:tblLook w:firstColumn="1" w:firstRow="1" w:lastColumn="0" w:lastRow="0" w:noHBand="0" w:noVBand="1" w:val="04A0"/>
      </w:tblPr>
      <w:tblGrid>
        <w:gridCol w:w="5100"/>
        <w:gridCol w:w="5100"/>
      </w:tblGrid>
      <w:tr>
        <w:tc>
          <w:tcPr>
            <w:tcW w:type="dxa" w:w="5100"/>
            <w:vAlign w:val="top"/>
            <w:shd w:fill="F6F1E8"/>
          </w:tcPr>
          <w:p>
            <w:r/>
            <w:r>
              <w:rPr>
                <w:rFonts w:ascii="Arial" w:hAnsi="Arial"/>
                <w:b/>
                <w:color w:val="0B132B"/>
                <w:sz w:val="17"/>
              </w:rPr>
              <w:t>Autorin</w:t>
            </w:r>
          </w:p>
        </w:tc>
        <w:tc>
          <w:tcPr>
            <w:tcW w:type="dxa" w:w="5100"/>
            <w:vAlign w:val="top"/>
          </w:tcPr>
          <w:p>
            <w:r/>
            <w:r>
              <w:rPr>
                <w:rFonts w:ascii="Arial" w:hAnsi="Arial"/>
                <w:b w:val="0"/>
                <w:sz w:val="17"/>
              </w:rPr>
              <w:t>Natalie Weber</w:t>
            </w:r>
          </w:p>
        </w:tc>
      </w:tr>
      <w:tr>
        <w:tc>
          <w:tcPr>
            <w:tcW w:type="dxa" w:w="5100"/>
            <w:vAlign w:val="top"/>
            <w:shd w:fill="F6F1E8"/>
          </w:tcPr>
          <w:p>
            <w:r/>
            <w:r>
              <w:rPr>
                <w:rFonts w:ascii="Arial" w:hAnsi="Arial"/>
                <w:b/>
                <w:color w:val="0B132B"/>
                <w:sz w:val="17"/>
              </w:rPr>
              <w:t>Referenz</w:t>
            </w:r>
          </w:p>
        </w:tc>
        <w:tc>
          <w:tcPr>
            <w:tcW w:type="dxa" w:w="5100"/>
            <w:vAlign w:val="top"/>
          </w:tcPr>
          <w:p>
            <w:r/>
            <w:r>
              <w:rPr>
                <w:rFonts w:ascii="Arial" w:hAnsi="Arial"/>
                <w:b w:val="0"/>
                <w:sz w:val="17"/>
              </w:rPr>
              <w:t>Wirkungsökonomie</w:t>
            </w:r>
          </w:p>
        </w:tc>
      </w:tr>
      <w:tr>
        <w:tc>
          <w:tcPr>
            <w:tcW w:type="dxa" w:w="5100"/>
            <w:vAlign w:val="top"/>
            <w:shd w:fill="F6F1E8"/>
          </w:tcPr>
          <w:p>
            <w:r/>
            <w:r>
              <w:rPr>
                <w:rFonts w:ascii="Arial" w:hAnsi="Arial"/>
                <w:b/>
                <w:color w:val="0B132B"/>
                <w:sz w:val="17"/>
              </w:rPr>
              <w:t>Version</w:t>
            </w:r>
          </w:p>
        </w:tc>
        <w:tc>
          <w:tcPr>
            <w:tcW w:type="dxa" w:w="5100"/>
            <w:vAlign w:val="top"/>
          </w:tcPr>
          <w:p>
            <w:r/>
            <w:r>
              <w:rPr>
                <w:rFonts w:ascii="Arial" w:hAnsi="Arial"/>
                <w:b w:val="0"/>
                <w:sz w:val="17"/>
              </w:rPr>
              <w:t>v0.1</w:t>
            </w:r>
          </w:p>
        </w:tc>
      </w:tr>
      <w:tr>
        <w:tc>
          <w:tcPr>
            <w:tcW w:type="dxa" w:w="5100"/>
            <w:vAlign w:val="top"/>
            <w:shd w:fill="F6F1E8"/>
          </w:tcPr>
          <w:p>
            <w:r/>
            <w:r>
              <w:rPr>
                <w:rFonts w:ascii="Arial" w:hAnsi="Arial"/>
                <w:b/>
                <w:color w:val="0B132B"/>
                <w:sz w:val="17"/>
              </w:rPr>
              <w:t>Status</w:t>
            </w:r>
          </w:p>
        </w:tc>
        <w:tc>
          <w:tcPr>
            <w:tcW w:type="dxa" w:w="5100"/>
            <w:vAlign w:val="top"/>
          </w:tcPr>
          <w:p>
            <w:r/>
            <w:r>
              <w:rPr>
                <w:rFonts w:ascii="Arial" w:hAnsi="Arial"/>
                <w:b w:val="0"/>
                <w:sz w:val="17"/>
              </w:rPr>
              <w:t>Diskussionsfassung</w:t>
            </w:r>
          </w:p>
        </w:tc>
      </w:tr>
      <w:tr>
        <w:tc>
          <w:tcPr>
            <w:tcW w:type="dxa" w:w="5100"/>
            <w:vAlign w:val="top"/>
            <w:shd w:fill="F6F1E8"/>
          </w:tcPr>
          <w:p>
            <w:r/>
            <w:r>
              <w:rPr>
                <w:rFonts w:ascii="Arial" w:hAnsi="Arial"/>
                <w:b/>
                <w:color w:val="0B132B"/>
                <w:sz w:val="17"/>
              </w:rPr>
              <w:t>Stand</w:t>
            </w:r>
          </w:p>
        </w:tc>
        <w:tc>
          <w:tcPr>
            <w:tcW w:type="dxa" w:w="5100"/>
            <w:vAlign w:val="top"/>
          </w:tcPr>
          <w:p>
            <w:r/>
            <w:r>
              <w:rPr>
                <w:rFonts w:ascii="Arial" w:hAnsi="Arial"/>
                <w:b w:val="0"/>
                <w:sz w:val="17"/>
              </w:rPr>
              <w:t>24. Mai 2026</w:t>
            </w:r>
          </w:p>
        </w:tc>
      </w:tr>
      <w:tr>
        <w:tc>
          <w:tcPr>
            <w:tcW w:type="dxa" w:w="5100"/>
            <w:vAlign w:val="top"/>
            <w:shd w:fill="F6F1E8"/>
          </w:tcPr>
          <w:p>
            <w:r/>
            <w:r>
              <w:rPr>
                <w:rFonts w:ascii="Arial" w:hAnsi="Arial"/>
                <w:b/>
                <w:color w:val="0B132B"/>
                <w:sz w:val="17"/>
              </w:rPr>
              <w:t>Öffentlichkeit</w:t>
            </w:r>
          </w:p>
        </w:tc>
        <w:tc>
          <w:tcPr>
            <w:tcW w:type="dxa" w:w="5100"/>
            <w:vAlign w:val="top"/>
          </w:tcPr>
          <w:p>
            <w:r/>
            <w:r>
              <w:rPr>
                <w:rFonts w:ascii="Arial" w:hAnsi="Arial"/>
                <w:b w:val="0"/>
                <w:sz w:val="17"/>
              </w:rPr>
              <w:t>Online lesbar und als Download verfügbar</w:t>
            </w:r>
          </w:p>
        </w:tc>
      </w:tr>
    </w:tbl>
    <w:p/>
    <w:p>
      <w:r>
        <w:rPr>
          <w:i/>
          <w:color w:val="6B6F73"/>
          <w:sz w:val="18"/>
        </w:rPr>
        <w:t>Leitformel: Wirkung ist neutral und relational. Bewertet wird sie am Referenzrahmen der SDGs, der Agenda 2030 und SDG+. Ziel ist positive Netto-Wirkung für Mensch, Planet und Demokratie.</w:t>
      </w:r>
    </w:p>
    <w:p>
      <w:r>
        <w:br w:type="page"/>
      </w:r>
    </w:p>
    <w:p>
      <w:pPr>
        <w:pStyle w:val="Heading1"/>
      </w:pPr>
      <w:r>
        <w:t>Inhaltslogik</w:t>
      </w:r>
    </w:p>
    <w:p>
      <w:r>
        <w:t>Dieses Dokument ist als öffentliche Arbeits- und Diskussionsfassung angelegt. Es enthält ausschließlich fachliche Publikationsinhalte. Die Kapitel sind so strukturiert, dass sie als Online-Volltext mit Ankern, Dossier-Download, Druckfunktion, SDG-/SDG+-Bezug und Buchankern veröffentlicht werden können.</w:t>
      </w:r>
    </w:p>
    <w:p>
      <w:pPr>
        <w:pStyle w:val="Heading1"/>
      </w:pPr>
      <w:r>
        <w:t>1. Zweck des Dossiers</w:t>
      </w:r>
    </w:p>
    <w:p>
      <w:r>
        <w:t>Dieses Dossier übersetzt das Konzept der Wirkungsrente in konkrete Beispiele, Datenlogik, Berechnungsannahmen und Umsetzungsschritte. Es dient als Arbeitsgrundlage für Website, Dossier-Download, politische Diskussion und Tool-Entwicklung. Alle Zahlenbeispiele sind Arbeitsannahmen v0.1 und keine gesetzlichen Werte.</w:t>
      </w:r>
    </w:p>
    <w:p>
      <w:pPr>
        <w:pStyle w:val="Heading1"/>
      </w:pPr>
      <w:r>
        <w:t>2. Aktuelle Problemlage</w:t>
      </w:r>
    </w:p>
    <w:p>
      <w:r>
        <w:t>Die offizielle Rentendiskussion zeigt zugleich Stabilisierung und Druck. Der Beitragssatz bleibt laut Rentenversicherungsbericht 2025 zunächst bei 18,6 Prozent, das Sicherungsniveau vor Steuern bei 48 Prozent bis 2031; nach Auslaufen der Haltelinie wird ein Rückgang auf 46,3 Prozent bis 2039 erwartet. Zugleich verlassen die Babyboomer den Arbeitsmarkt, und Deutschland steht vor alterungsbedingten Finanzierungs- und Arbeitskräftefragen. Das Dossier nutzt diese Lage nicht als Alarmismus, sondern als Begründung für eine breitere Wirkungslogik.</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shd w:fill="0B132B"/>
          </w:tcPr>
          <w:p>
            <w:r/>
            <w:r>
              <w:rPr>
                <w:rFonts w:ascii="Arial" w:hAnsi="Arial"/>
                <w:b/>
                <w:color w:val="FFFFFF"/>
                <w:sz w:val="17"/>
              </w:rPr>
              <w:t>Feld</w:t>
            </w:r>
          </w:p>
        </w:tc>
        <w:tc>
          <w:tcPr>
            <w:tcW w:type="dxa" w:w="3400"/>
            <w:vAlign w:val="top"/>
            <w:shd w:fill="0B132B"/>
          </w:tcPr>
          <w:p>
            <w:r/>
            <w:r>
              <w:rPr>
                <w:rFonts w:ascii="Arial" w:hAnsi="Arial"/>
                <w:b/>
                <w:color w:val="FFFFFF"/>
                <w:sz w:val="17"/>
              </w:rPr>
              <w:t>heutiger Befund</w:t>
            </w:r>
          </w:p>
        </w:tc>
        <w:tc>
          <w:tcPr>
            <w:tcW w:type="dxa" w:w="3400"/>
            <w:vAlign w:val="top"/>
            <w:shd w:fill="0B132B"/>
          </w:tcPr>
          <w:p>
            <w:r/>
            <w:r>
              <w:rPr>
                <w:rFonts w:ascii="Arial" w:hAnsi="Arial"/>
                <w:b/>
                <w:color w:val="FFFFFF"/>
                <w:sz w:val="17"/>
              </w:rPr>
              <w:t>WÖk-Frage</w:t>
            </w:r>
          </w:p>
        </w:tc>
      </w:tr>
      <w:tr>
        <w:tc>
          <w:tcPr>
            <w:tcW w:type="dxa" w:w="3400"/>
            <w:vAlign w:val="top"/>
            <w:shd w:fill="F6F1E8"/>
          </w:tcPr>
          <w:p>
            <w:r/>
            <w:r>
              <w:rPr>
                <w:rFonts w:ascii="Arial" w:hAnsi="Arial"/>
                <w:b w:val="0"/>
                <w:sz w:val="16"/>
              </w:rPr>
              <w:t>Demografie</w:t>
            </w:r>
          </w:p>
        </w:tc>
        <w:tc>
          <w:tcPr>
            <w:tcW w:type="dxa" w:w="3400"/>
            <w:vAlign w:val="top"/>
          </w:tcPr>
          <w:p>
            <w:r/>
            <w:r>
              <w:rPr>
                <w:rFonts w:ascii="Arial" w:hAnsi="Arial"/>
                <w:b w:val="0"/>
                <w:sz w:val="16"/>
              </w:rPr>
              <w:t>Mehr Menschen im Rentenalter, relativ weniger Erwerbsfähige.</w:t>
            </w:r>
          </w:p>
        </w:tc>
        <w:tc>
          <w:tcPr>
            <w:tcW w:type="dxa" w:w="3400"/>
            <w:vAlign w:val="top"/>
          </w:tcPr>
          <w:p>
            <w:r/>
            <w:r>
              <w:rPr>
                <w:rFonts w:ascii="Arial" w:hAnsi="Arial"/>
                <w:b w:val="0"/>
                <w:sz w:val="16"/>
              </w:rPr>
              <w:t>Wie sichern wir Würde und Wirkung über Generationen?</w:t>
            </w:r>
          </w:p>
        </w:tc>
      </w:tr>
      <w:tr>
        <w:tc>
          <w:tcPr>
            <w:tcW w:type="dxa" w:w="3400"/>
            <w:vAlign w:val="top"/>
            <w:shd w:fill="F6F1E8"/>
          </w:tcPr>
          <w:p>
            <w:r/>
            <w:r>
              <w:rPr>
                <w:rFonts w:ascii="Arial" w:hAnsi="Arial"/>
                <w:b w:val="0"/>
                <w:sz w:val="16"/>
              </w:rPr>
              <w:t>Automatisierung</w:t>
            </w:r>
          </w:p>
        </w:tc>
        <w:tc>
          <w:tcPr>
            <w:tcW w:type="dxa" w:w="3400"/>
            <w:vAlign w:val="top"/>
          </w:tcPr>
          <w:p>
            <w:r/>
            <w:r>
              <w:rPr>
                <w:rFonts w:ascii="Arial" w:hAnsi="Arial"/>
                <w:b w:val="0"/>
                <w:sz w:val="16"/>
              </w:rPr>
              <w:t>Produktivität kann ohne proportional wachsende Beschäftigung steigen.</w:t>
            </w:r>
          </w:p>
        </w:tc>
        <w:tc>
          <w:tcPr>
            <w:tcW w:type="dxa" w:w="3400"/>
            <w:vAlign w:val="top"/>
          </w:tcPr>
          <w:p>
            <w:r/>
            <w:r>
              <w:rPr>
                <w:rFonts w:ascii="Arial" w:hAnsi="Arial"/>
                <w:b w:val="0"/>
                <w:sz w:val="16"/>
              </w:rPr>
              <w:t>Wie fließt Maschinenleistung in soziale Sicherung zurück?</w:t>
            </w:r>
          </w:p>
        </w:tc>
      </w:tr>
      <w:tr>
        <w:tc>
          <w:tcPr>
            <w:tcW w:type="dxa" w:w="3400"/>
            <w:vAlign w:val="top"/>
            <w:shd w:fill="F6F1E8"/>
          </w:tcPr>
          <w:p>
            <w:r/>
            <w:r>
              <w:rPr>
                <w:rFonts w:ascii="Arial" w:hAnsi="Arial"/>
                <w:b w:val="0"/>
                <w:sz w:val="16"/>
              </w:rPr>
              <w:t>Care und Gender Gap</w:t>
            </w:r>
          </w:p>
        </w:tc>
        <w:tc>
          <w:tcPr>
            <w:tcW w:type="dxa" w:w="3400"/>
            <w:vAlign w:val="top"/>
          </w:tcPr>
          <w:p>
            <w:r/>
            <w:r>
              <w:rPr>
                <w:rFonts w:ascii="Arial" w:hAnsi="Arial"/>
                <w:b w:val="0"/>
                <w:sz w:val="16"/>
              </w:rPr>
              <w:t>Unbezahlte oder unterbezahlte Arbeit erzeugt Rentenlücken.</w:t>
            </w:r>
          </w:p>
        </w:tc>
        <w:tc>
          <w:tcPr>
            <w:tcW w:type="dxa" w:w="3400"/>
            <w:vAlign w:val="top"/>
          </w:tcPr>
          <w:p>
            <w:r/>
            <w:r>
              <w:rPr>
                <w:rFonts w:ascii="Arial" w:hAnsi="Arial"/>
                <w:b w:val="0"/>
                <w:sz w:val="16"/>
              </w:rPr>
              <w:t>Wie wird Lebenswirkung anerkannt?</w:t>
            </w:r>
          </w:p>
        </w:tc>
      </w:tr>
      <w:tr>
        <w:tc>
          <w:tcPr>
            <w:tcW w:type="dxa" w:w="3400"/>
            <w:vAlign w:val="top"/>
            <w:shd w:fill="F6F1E8"/>
          </w:tcPr>
          <w:p>
            <w:r/>
            <w:r>
              <w:rPr>
                <w:rFonts w:ascii="Arial" w:hAnsi="Arial"/>
                <w:b w:val="0"/>
                <w:sz w:val="16"/>
              </w:rPr>
              <w:t>Kapitaldeckung</w:t>
            </w:r>
          </w:p>
        </w:tc>
        <w:tc>
          <w:tcPr>
            <w:tcW w:type="dxa" w:w="3400"/>
            <w:vAlign w:val="top"/>
          </w:tcPr>
          <w:p>
            <w:r/>
            <w:r>
              <w:rPr>
                <w:rFonts w:ascii="Arial" w:hAnsi="Arial"/>
                <w:b w:val="0"/>
                <w:sz w:val="16"/>
              </w:rPr>
              <w:t>Kapitalanlagen können Zukunftsrisiken verstärken.</w:t>
            </w:r>
          </w:p>
        </w:tc>
        <w:tc>
          <w:tcPr>
            <w:tcW w:type="dxa" w:w="3400"/>
            <w:vAlign w:val="top"/>
          </w:tcPr>
          <w:p>
            <w:r/>
            <w:r>
              <w:rPr>
                <w:rFonts w:ascii="Arial" w:hAnsi="Arial"/>
                <w:b w:val="0"/>
                <w:sz w:val="16"/>
              </w:rPr>
              <w:t>Wie wird Kapitalwirkung Teil der Altersvorsorge?</w:t>
            </w:r>
          </w:p>
        </w:tc>
      </w:tr>
      <w:tr>
        <w:tc>
          <w:tcPr>
            <w:tcW w:type="dxa" w:w="3400"/>
            <w:vAlign w:val="top"/>
            <w:shd w:fill="F6F1E8"/>
          </w:tcPr>
          <w:p>
            <w:r/>
            <w:r>
              <w:rPr>
                <w:rFonts w:ascii="Arial" w:hAnsi="Arial"/>
                <w:b w:val="0"/>
                <w:sz w:val="16"/>
              </w:rPr>
              <w:t>Vertrauen</w:t>
            </w:r>
          </w:p>
        </w:tc>
        <w:tc>
          <w:tcPr>
            <w:tcW w:type="dxa" w:w="3400"/>
            <w:vAlign w:val="top"/>
          </w:tcPr>
          <w:p>
            <w:r/>
            <w:r>
              <w:rPr>
                <w:rFonts w:ascii="Arial" w:hAnsi="Arial"/>
                <w:b w:val="0"/>
                <w:sz w:val="16"/>
              </w:rPr>
              <w:t>Junge und Alte erleben Reformen oft als Nullsummenspiel.</w:t>
            </w:r>
          </w:p>
        </w:tc>
        <w:tc>
          <w:tcPr>
            <w:tcW w:type="dxa" w:w="3400"/>
            <w:vAlign w:val="top"/>
          </w:tcPr>
          <w:p>
            <w:r/>
            <w:r>
              <w:rPr>
                <w:rFonts w:ascii="Arial" w:hAnsi="Arial"/>
                <w:b w:val="0"/>
                <w:sz w:val="16"/>
              </w:rPr>
              <w:t>Wie wird Rente zur Vertrauensarchitektur?</w:t>
            </w:r>
          </w:p>
        </w:tc>
      </w:tr>
    </w:tbl>
    <w:p/>
    <w:p>
      <w:pPr>
        <w:pStyle w:val="Heading1"/>
      </w:pPr>
      <w:r>
        <w:t>3. Arbeitsmodell des Wirkungsrenten-Rechners</w:t>
      </w:r>
    </w:p>
    <w:p>
      <w:r>
        <w:t>Der Rechner zeigt zwei Dinge: erstens die alte Logik als stark vereinfachte Beitrags-/Anwartschaftsperspektive, zweitens die Wirkungslogik als Ergänzung aus Würdeebene, Lebenswirkungsbonus, Wirkungsdividende und Fondsanteil. Das Modell ist bewusst begrenzt, um Personenbewertung zu vermeiden.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shd w:fill="0B132B"/>
          </w:tcPr>
          <w:p>
            <w:r/>
            <w:r>
              <w:rPr>
                <w:rFonts w:ascii="Arial" w:hAnsi="Arial"/>
                <w:b/>
                <w:color w:val="FFFFFF"/>
                <w:sz w:val="17"/>
              </w:rPr>
              <w:t>Variable</w:t>
            </w:r>
          </w:p>
        </w:tc>
        <w:tc>
          <w:tcPr>
            <w:tcW w:type="dxa" w:w="3400"/>
            <w:vAlign w:val="top"/>
            <w:shd w:fill="0B132B"/>
          </w:tcPr>
          <w:p>
            <w:r/>
            <w:r>
              <w:rPr>
                <w:rFonts w:ascii="Arial" w:hAnsi="Arial"/>
                <w:b/>
                <w:color w:val="FFFFFF"/>
                <w:sz w:val="17"/>
              </w:rPr>
              <w:t>Beschreibung</w:t>
            </w:r>
          </w:p>
        </w:tc>
        <w:tc>
          <w:tcPr>
            <w:tcW w:type="dxa" w:w="3400"/>
            <w:vAlign w:val="top"/>
            <w:shd w:fill="0B132B"/>
          </w:tcPr>
          <w:p>
            <w:r/>
            <w:r>
              <w:rPr>
                <w:rFonts w:ascii="Arial" w:hAnsi="Arial"/>
                <w:b/>
                <w:color w:val="FFFFFF"/>
                <w:sz w:val="17"/>
              </w:rPr>
              <w:t>Arbeitsannahme v0.1</w:t>
            </w:r>
          </w:p>
        </w:tc>
      </w:tr>
      <w:tr>
        <w:tc>
          <w:tcPr>
            <w:tcW w:type="dxa" w:w="3400"/>
            <w:vAlign w:val="top"/>
            <w:shd w:fill="F6F1E8"/>
          </w:tcPr>
          <w:p>
            <w:r/>
            <w:r>
              <w:rPr>
                <w:rFonts w:ascii="Arial" w:hAnsi="Arial"/>
                <w:b w:val="0"/>
                <w:sz w:val="16"/>
              </w:rPr>
              <w:t>B</w:t>
            </w:r>
          </w:p>
        </w:tc>
        <w:tc>
          <w:tcPr>
            <w:tcW w:type="dxa" w:w="3400"/>
            <w:vAlign w:val="top"/>
          </w:tcPr>
          <w:p>
            <w:r/>
            <w:r>
              <w:rPr>
                <w:rFonts w:ascii="Arial" w:hAnsi="Arial"/>
                <w:b w:val="0"/>
                <w:sz w:val="16"/>
              </w:rPr>
              <w:t>Basisrente / Würdeebene</w:t>
            </w:r>
          </w:p>
        </w:tc>
        <w:tc>
          <w:tcPr>
            <w:tcW w:type="dxa" w:w="3400"/>
            <w:vAlign w:val="top"/>
          </w:tcPr>
          <w:p>
            <w:r/>
            <w:r>
              <w:rPr>
                <w:rFonts w:ascii="Arial" w:hAnsi="Arial"/>
                <w:b w:val="0"/>
                <w:sz w:val="16"/>
              </w:rPr>
              <w:t>1.200 Euro</w:t>
            </w:r>
          </w:p>
        </w:tc>
      </w:tr>
      <w:tr>
        <w:tc>
          <w:tcPr>
            <w:tcW w:type="dxa" w:w="3400"/>
            <w:vAlign w:val="top"/>
            <w:shd w:fill="F6F1E8"/>
          </w:tcPr>
          <w:p>
            <w:r/>
            <w:r>
              <w:rPr>
                <w:rFonts w:ascii="Arial" w:hAnsi="Arial"/>
                <w:b w:val="0"/>
                <w:sz w:val="16"/>
              </w:rPr>
              <w:t>A</w:t>
            </w:r>
          </w:p>
        </w:tc>
        <w:tc>
          <w:tcPr>
            <w:tcW w:type="dxa" w:w="3400"/>
            <w:vAlign w:val="top"/>
          </w:tcPr>
          <w:p>
            <w:r/>
            <w:r>
              <w:rPr>
                <w:rFonts w:ascii="Arial" w:hAnsi="Arial"/>
                <w:b w:val="0"/>
                <w:sz w:val="16"/>
              </w:rPr>
              <w:t>klassischer Anwartschaftsanteil</w:t>
            </w:r>
          </w:p>
        </w:tc>
        <w:tc>
          <w:tcPr>
            <w:tcW w:type="dxa" w:w="3400"/>
            <w:vAlign w:val="top"/>
          </w:tcPr>
          <w:p>
            <w:r/>
            <w:r>
              <w:rPr>
                <w:rFonts w:ascii="Arial" w:hAnsi="Arial"/>
                <w:b w:val="0"/>
                <w:sz w:val="16"/>
              </w:rPr>
              <w:t>0 bis 1.200 Euro nach Übergangsmodell</w:t>
            </w:r>
          </w:p>
        </w:tc>
      </w:tr>
      <w:tr>
        <w:tc>
          <w:tcPr>
            <w:tcW w:type="dxa" w:w="3400"/>
            <w:vAlign w:val="top"/>
            <w:shd w:fill="F6F1E8"/>
          </w:tcPr>
          <w:p>
            <w:r/>
            <w:r>
              <w:rPr>
                <w:rFonts w:ascii="Arial" w:hAnsi="Arial"/>
                <w:b w:val="0"/>
                <w:sz w:val="16"/>
              </w:rPr>
              <w:t>LWF</w:t>
            </w:r>
          </w:p>
        </w:tc>
        <w:tc>
          <w:tcPr>
            <w:tcW w:type="dxa" w:w="3400"/>
            <w:vAlign w:val="top"/>
          </w:tcPr>
          <w:p>
            <w:r/>
            <w:r>
              <w:rPr>
                <w:rFonts w:ascii="Arial" w:hAnsi="Arial"/>
                <w:b w:val="0"/>
                <w:sz w:val="16"/>
              </w:rPr>
              <w:t>Lebenswirkungs-Faktor</w:t>
            </w:r>
          </w:p>
        </w:tc>
        <w:tc>
          <w:tcPr>
            <w:tcW w:type="dxa" w:w="3400"/>
            <w:vAlign w:val="top"/>
          </w:tcPr>
          <w:p>
            <w:r/>
            <w:r>
              <w:rPr>
                <w:rFonts w:ascii="Arial" w:hAnsi="Arial"/>
                <w:b w:val="0"/>
                <w:sz w:val="16"/>
              </w:rPr>
              <w:t>0,90 bis 1,25 als Korridor; keine Absenkung unter B</w:t>
            </w:r>
          </w:p>
        </w:tc>
      </w:tr>
      <w:tr>
        <w:tc>
          <w:tcPr>
            <w:tcW w:type="dxa" w:w="3400"/>
            <w:vAlign w:val="top"/>
            <w:shd w:fill="F6F1E8"/>
          </w:tcPr>
          <w:p>
            <w:r/>
            <w:r>
              <w:rPr>
                <w:rFonts w:ascii="Arial" w:hAnsi="Arial"/>
                <w:b w:val="0"/>
                <w:sz w:val="16"/>
              </w:rPr>
              <w:t>WB</w:t>
            </w:r>
          </w:p>
        </w:tc>
        <w:tc>
          <w:tcPr>
            <w:tcW w:type="dxa" w:w="3400"/>
            <w:vAlign w:val="top"/>
          </w:tcPr>
          <w:p>
            <w:r/>
            <w:r>
              <w:rPr>
                <w:rFonts w:ascii="Arial" w:hAnsi="Arial"/>
                <w:b w:val="0"/>
                <w:sz w:val="16"/>
              </w:rPr>
              <w:t>Wirkungsbonus</w:t>
            </w:r>
          </w:p>
        </w:tc>
        <w:tc>
          <w:tcPr>
            <w:tcW w:type="dxa" w:w="3400"/>
            <w:vAlign w:val="top"/>
          </w:tcPr>
          <w:p>
            <w:r/>
            <w:r>
              <w:rPr>
                <w:rFonts w:ascii="Arial" w:hAnsi="Arial"/>
                <w:b w:val="0"/>
                <w:sz w:val="16"/>
              </w:rPr>
              <w:t>B × (LWF - 1), nur positiver Bonus in Pilotphase</w:t>
            </w:r>
          </w:p>
        </w:tc>
      </w:tr>
      <w:tr>
        <w:tc>
          <w:tcPr>
            <w:tcW w:type="dxa" w:w="3400"/>
            <w:vAlign w:val="top"/>
            <w:shd w:fill="F6F1E8"/>
          </w:tcPr>
          <w:p>
            <w:r/>
            <w:r>
              <w:rPr>
                <w:rFonts w:ascii="Arial" w:hAnsi="Arial"/>
                <w:b w:val="0"/>
                <w:sz w:val="16"/>
              </w:rPr>
              <w:t>WD</w:t>
            </w:r>
          </w:p>
        </w:tc>
        <w:tc>
          <w:tcPr>
            <w:tcW w:type="dxa" w:w="3400"/>
            <w:vAlign w:val="top"/>
          </w:tcPr>
          <w:p>
            <w:r/>
            <w:r>
              <w:rPr>
                <w:rFonts w:ascii="Arial" w:hAnsi="Arial"/>
                <w:b w:val="0"/>
                <w:sz w:val="16"/>
              </w:rPr>
              <w:t>Wirkungsdividende</w:t>
            </w:r>
          </w:p>
        </w:tc>
        <w:tc>
          <w:tcPr>
            <w:tcW w:type="dxa" w:w="3400"/>
            <w:vAlign w:val="top"/>
          </w:tcPr>
          <w:p>
            <w:r/>
            <w:r>
              <w:rPr>
                <w:rFonts w:ascii="Arial" w:hAnsi="Arial"/>
                <w:b w:val="0"/>
                <w:sz w:val="16"/>
              </w:rPr>
              <w:t>Ausschüttung aus Wirkungsfonds, z. B. 50 bis 150 Euro</w:t>
            </w:r>
          </w:p>
        </w:tc>
      </w:tr>
      <w:tr>
        <w:tc>
          <w:tcPr>
            <w:tcW w:type="dxa" w:w="3400"/>
            <w:vAlign w:val="top"/>
            <w:shd w:fill="F6F1E8"/>
          </w:tcPr>
          <w:p>
            <w:r/>
            <w:r>
              <w:rPr>
                <w:rFonts w:ascii="Arial" w:hAnsi="Arial"/>
                <w:b w:val="0"/>
                <w:sz w:val="16"/>
              </w:rPr>
              <w:t>F</w:t>
            </w:r>
          </w:p>
        </w:tc>
        <w:tc>
          <w:tcPr>
            <w:tcW w:type="dxa" w:w="3400"/>
            <w:vAlign w:val="top"/>
          </w:tcPr>
          <w:p>
            <w:r/>
            <w:r>
              <w:rPr>
                <w:rFonts w:ascii="Arial" w:hAnsi="Arial"/>
                <w:b w:val="0"/>
                <w:sz w:val="16"/>
              </w:rPr>
              <w:t>Fondsanteil</w:t>
            </w:r>
          </w:p>
        </w:tc>
        <w:tc>
          <w:tcPr>
            <w:tcW w:type="dxa" w:w="3400"/>
            <w:vAlign w:val="top"/>
          </w:tcPr>
          <w:p>
            <w:r/>
            <w:r>
              <w:rPr>
                <w:rFonts w:ascii="Arial" w:hAnsi="Arial"/>
                <w:b w:val="0"/>
                <w:sz w:val="16"/>
              </w:rPr>
              <w:t>Ertrag aus Renten-Impact-Fonds, risikogestuft</w:t>
            </w:r>
          </w:p>
        </w:tc>
      </w:tr>
      <w:tr>
        <w:tc>
          <w:tcPr>
            <w:tcW w:type="dxa" w:w="3400"/>
            <w:vAlign w:val="top"/>
            <w:shd w:fill="F6F1E8"/>
          </w:tcPr>
          <w:p>
            <w:r/>
            <w:r>
              <w:rPr>
                <w:rFonts w:ascii="Arial" w:hAnsi="Arial"/>
                <w:b w:val="0"/>
                <w:sz w:val="16"/>
              </w:rPr>
              <w:t>R</w:t>
            </w:r>
          </w:p>
        </w:tc>
        <w:tc>
          <w:tcPr>
            <w:tcW w:type="dxa" w:w="3400"/>
            <w:vAlign w:val="top"/>
          </w:tcPr>
          <w:p>
            <w:r/>
            <w:r>
              <w:rPr>
                <w:rFonts w:ascii="Arial" w:hAnsi="Arial"/>
                <w:b w:val="0"/>
                <w:sz w:val="16"/>
              </w:rPr>
              <w:t>Rente im Modell</w:t>
            </w:r>
          </w:p>
        </w:tc>
        <w:tc>
          <w:tcPr>
            <w:tcW w:type="dxa" w:w="3400"/>
            <w:vAlign w:val="top"/>
          </w:tcPr>
          <w:p>
            <w:r/>
            <w:r>
              <w:rPr>
                <w:rFonts w:ascii="Arial" w:hAnsi="Arial"/>
                <w:b w:val="0"/>
                <w:sz w:val="16"/>
              </w:rPr>
              <w:t>R = B + A + max(0, WB) + WD + F</w:t>
            </w:r>
          </w:p>
        </w:tc>
      </w:tr>
    </w:tbl>
    <w:p/>
    <w:p>
      <w:pPr>
        <w:pStyle w:val="Heading2"/>
      </w:pPr>
      <w:r>
        <w:t>3.1 Warum kein negativer Personenabschlag in der Pilotphase?</w:t>
      </w:r>
    </w:p>
    <w:p>
      <w:r>
        <w:t>Die Pilotlogik vermeidet punitive Personenbewertung. Negative Wirkung wird primär über Unternehmens-, Produkt-, Kapital- und Steuerlogik rückgekoppelt, nicht über die Bestrafung einzelner Rentner:innen. Für Personen wird zunächst positiv anerkannt, was nachweislich stabilisiert. Rote Linien gelten institutionell und systemisch, nicht als moralisches Urteil über Lebensläufe.</w:t>
      </w:r>
    </w:p>
    <w:p>
      <w:pPr>
        <w:pStyle w:val="Heading1"/>
      </w:pPr>
      <w:r>
        <w:t>4. Beispielrechnungen</w:t>
      </w:r>
    </w:p>
    <w:tbl>
      <w:tblPr>
        <w:tblStyle w:val="TableGrid"/>
        <w:tblW w:type="auto" w:w="0"/>
        <w:jc w:val="center"/>
        <w:tblLook w:firstColumn="1" w:firstRow="1" w:lastColumn="0" w:lastRow="0" w:noHBand="0" w:noVBand="1" w:val="04A0"/>
      </w:tblPr>
      <w:tblGrid>
        <w:gridCol w:w="1275"/>
        <w:gridCol w:w="1275"/>
        <w:gridCol w:w="1275"/>
        <w:gridCol w:w="1275"/>
        <w:gridCol w:w="1275"/>
        <w:gridCol w:w="1275"/>
        <w:gridCol w:w="1275"/>
        <w:gridCol w:w="1275"/>
      </w:tblGrid>
      <w:tr>
        <w:tc>
          <w:tcPr>
            <w:tcW w:type="dxa" w:w="1275"/>
            <w:vAlign w:val="top"/>
            <w:shd w:fill="0B132B"/>
          </w:tcPr>
          <w:p>
            <w:r/>
            <w:r>
              <w:rPr>
                <w:rFonts w:ascii="Arial" w:hAnsi="Arial"/>
                <w:b/>
                <w:color w:val="FFFFFF"/>
                <w:sz w:val="17"/>
              </w:rPr>
              <w:t>Fall</w:t>
            </w:r>
          </w:p>
        </w:tc>
        <w:tc>
          <w:tcPr>
            <w:tcW w:type="dxa" w:w="1275"/>
            <w:vAlign w:val="top"/>
            <w:shd w:fill="0B132B"/>
          </w:tcPr>
          <w:p>
            <w:r/>
            <w:r>
              <w:rPr>
                <w:rFonts w:ascii="Arial" w:hAnsi="Arial"/>
                <w:b/>
                <w:color w:val="FFFFFF"/>
                <w:sz w:val="17"/>
              </w:rPr>
              <w:t>Basis B</w:t>
            </w:r>
          </w:p>
        </w:tc>
        <w:tc>
          <w:tcPr>
            <w:tcW w:type="dxa" w:w="1275"/>
            <w:vAlign w:val="top"/>
            <w:shd w:fill="0B132B"/>
          </w:tcPr>
          <w:p>
            <w:r/>
            <w:r>
              <w:rPr>
                <w:rFonts w:ascii="Arial" w:hAnsi="Arial"/>
                <w:b/>
                <w:color w:val="FFFFFF"/>
                <w:sz w:val="17"/>
              </w:rPr>
              <w:t>Anwartschaft A</w:t>
            </w:r>
          </w:p>
        </w:tc>
        <w:tc>
          <w:tcPr>
            <w:tcW w:type="dxa" w:w="1275"/>
            <w:vAlign w:val="top"/>
            <w:shd w:fill="0B132B"/>
          </w:tcPr>
          <w:p>
            <w:r/>
            <w:r>
              <w:rPr>
                <w:rFonts w:ascii="Arial" w:hAnsi="Arial"/>
                <w:b/>
                <w:color w:val="FFFFFF"/>
                <w:sz w:val="17"/>
              </w:rPr>
              <w:t>LWF</w:t>
            </w:r>
          </w:p>
        </w:tc>
        <w:tc>
          <w:tcPr>
            <w:tcW w:type="dxa" w:w="1275"/>
            <w:vAlign w:val="top"/>
            <w:shd w:fill="0B132B"/>
          </w:tcPr>
          <w:p>
            <w:r/>
            <w:r>
              <w:rPr>
                <w:rFonts w:ascii="Arial" w:hAnsi="Arial"/>
                <w:b/>
                <w:color w:val="FFFFFF"/>
                <w:sz w:val="17"/>
              </w:rPr>
              <w:t>Bonus WB</w:t>
            </w:r>
          </w:p>
        </w:tc>
        <w:tc>
          <w:tcPr>
            <w:tcW w:type="dxa" w:w="1275"/>
            <w:vAlign w:val="top"/>
            <w:shd w:fill="0B132B"/>
          </w:tcPr>
          <w:p>
            <w:r/>
            <w:r>
              <w:rPr>
                <w:rFonts w:ascii="Arial" w:hAnsi="Arial"/>
                <w:b/>
                <w:color w:val="FFFFFF"/>
                <w:sz w:val="17"/>
              </w:rPr>
              <w:t>Dividende WD</w:t>
            </w:r>
          </w:p>
        </w:tc>
        <w:tc>
          <w:tcPr>
            <w:tcW w:type="dxa" w:w="1275"/>
            <w:vAlign w:val="top"/>
            <w:shd w:fill="0B132B"/>
          </w:tcPr>
          <w:p>
            <w:r/>
            <w:r>
              <w:rPr>
                <w:rFonts w:ascii="Arial" w:hAnsi="Arial"/>
                <w:b/>
                <w:color w:val="FFFFFF"/>
                <w:sz w:val="17"/>
              </w:rPr>
              <w:t>Fonds F</w:t>
            </w:r>
          </w:p>
        </w:tc>
        <w:tc>
          <w:tcPr>
            <w:tcW w:type="dxa" w:w="1275"/>
            <w:vAlign w:val="top"/>
            <w:shd w:fill="0B132B"/>
          </w:tcPr>
          <w:p>
            <w:r/>
            <w:r>
              <w:rPr>
                <w:rFonts w:ascii="Arial" w:hAnsi="Arial"/>
                <w:b/>
                <w:color w:val="FFFFFF"/>
                <w:sz w:val="17"/>
              </w:rPr>
              <w:t>Modellrente R</w:t>
            </w:r>
          </w:p>
        </w:tc>
      </w:tr>
      <w:tr>
        <w:tc>
          <w:tcPr>
            <w:tcW w:type="dxa" w:w="1275"/>
            <w:vAlign w:val="top"/>
            <w:shd w:fill="F6F1E8"/>
          </w:tcPr>
          <w:p>
            <w:r/>
            <w:r>
              <w:rPr>
                <w:rFonts w:ascii="Arial" w:hAnsi="Arial"/>
                <w:b w:val="0"/>
                <w:sz w:val="16"/>
              </w:rPr>
              <w:t>Pflegende Angehörige mit Teilzeit-Erwerbsbiografie</w:t>
            </w:r>
          </w:p>
        </w:tc>
        <w:tc>
          <w:tcPr>
            <w:tcW w:type="dxa" w:w="1275"/>
            <w:vAlign w:val="top"/>
          </w:tcPr>
          <w:p>
            <w:r/>
            <w:r>
              <w:rPr>
                <w:rFonts w:ascii="Arial" w:hAnsi="Arial"/>
                <w:b w:val="0"/>
                <w:sz w:val="16"/>
              </w:rPr>
              <w:t>1.200</w:t>
            </w:r>
          </w:p>
        </w:tc>
        <w:tc>
          <w:tcPr>
            <w:tcW w:type="dxa" w:w="1275"/>
            <w:vAlign w:val="top"/>
          </w:tcPr>
          <w:p>
            <w:r/>
            <w:r>
              <w:rPr>
                <w:rFonts w:ascii="Arial" w:hAnsi="Arial"/>
                <w:b w:val="0"/>
                <w:sz w:val="16"/>
              </w:rPr>
              <w:t>350</w:t>
            </w:r>
          </w:p>
        </w:tc>
        <w:tc>
          <w:tcPr>
            <w:tcW w:type="dxa" w:w="1275"/>
            <w:vAlign w:val="top"/>
          </w:tcPr>
          <w:p>
            <w:r/>
            <w:r>
              <w:rPr>
                <w:rFonts w:ascii="Arial" w:hAnsi="Arial"/>
                <w:b w:val="0"/>
                <w:sz w:val="16"/>
              </w:rPr>
              <w:t>1,20</w:t>
            </w:r>
          </w:p>
        </w:tc>
        <w:tc>
          <w:tcPr>
            <w:tcW w:type="dxa" w:w="1275"/>
            <w:vAlign w:val="top"/>
          </w:tcPr>
          <w:p>
            <w:r/>
            <w:r>
              <w:rPr>
                <w:rFonts w:ascii="Arial" w:hAnsi="Arial"/>
                <w:b w:val="0"/>
                <w:sz w:val="16"/>
              </w:rPr>
              <w:t>240</w:t>
            </w:r>
          </w:p>
        </w:tc>
        <w:tc>
          <w:tcPr>
            <w:tcW w:type="dxa" w:w="1275"/>
            <w:vAlign w:val="top"/>
          </w:tcPr>
          <w:p>
            <w:r/>
            <w:r>
              <w:rPr>
                <w:rFonts w:ascii="Arial" w:hAnsi="Arial"/>
                <w:b w:val="0"/>
                <w:sz w:val="16"/>
              </w:rPr>
              <w:t>80</w:t>
            </w:r>
          </w:p>
        </w:tc>
        <w:tc>
          <w:tcPr>
            <w:tcW w:type="dxa" w:w="1275"/>
            <w:vAlign w:val="top"/>
          </w:tcPr>
          <w:p>
            <w:r/>
            <w:r>
              <w:rPr>
                <w:rFonts w:ascii="Arial" w:hAnsi="Arial"/>
                <w:b w:val="0"/>
                <w:sz w:val="16"/>
              </w:rPr>
              <w:t>60</w:t>
            </w:r>
          </w:p>
        </w:tc>
        <w:tc>
          <w:tcPr>
            <w:tcW w:type="dxa" w:w="1275"/>
            <w:vAlign w:val="top"/>
          </w:tcPr>
          <w:p>
            <w:r/>
            <w:r>
              <w:rPr>
                <w:rFonts w:ascii="Arial" w:hAnsi="Arial"/>
                <w:b w:val="0"/>
                <w:sz w:val="16"/>
              </w:rPr>
              <w:t>1.930</w:t>
            </w:r>
          </w:p>
        </w:tc>
      </w:tr>
      <w:tr>
        <w:tc>
          <w:tcPr>
            <w:tcW w:type="dxa" w:w="1275"/>
            <w:vAlign w:val="top"/>
            <w:shd w:fill="F6F1E8"/>
          </w:tcPr>
          <w:p>
            <w:r/>
            <w:r>
              <w:rPr>
                <w:rFonts w:ascii="Arial" w:hAnsi="Arial"/>
                <w:b w:val="0"/>
                <w:sz w:val="16"/>
              </w:rPr>
              <w:t>Lehrkraft / Bildungswirkung</w:t>
            </w:r>
          </w:p>
        </w:tc>
        <w:tc>
          <w:tcPr>
            <w:tcW w:type="dxa" w:w="1275"/>
            <w:vAlign w:val="top"/>
          </w:tcPr>
          <w:p>
            <w:r/>
            <w:r>
              <w:rPr>
                <w:rFonts w:ascii="Arial" w:hAnsi="Arial"/>
                <w:b w:val="0"/>
                <w:sz w:val="16"/>
              </w:rPr>
              <w:t>1.200</w:t>
            </w:r>
          </w:p>
        </w:tc>
        <w:tc>
          <w:tcPr>
            <w:tcW w:type="dxa" w:w="1275"/>
            <w:vAlign w:val="top"/>
          </w:tcPr>
          <w:p>
            <w:r/>
            <w:r>
              <w:rPr>
                <w:rFonts w:ascii="Arial" w:hAnsi="Arial"/>
                <w:b w:val="0"/>
                <w:sz w:val="16"/>
              </w:rPr>
              <w:t>650</w:t>
            </w:r>
          </w:p>
        </w:tc>
        <w:tc>
          <w:tcPr>
            <w:tcW w:type="dxa" w:w="1275"/>
            <w:vAlign w:val="top"/>
          </w:tcPr>
          <w:p>
            <w:r/>
            <w:r>
              <w:rPr>
                <w:rFonts w:ascii="Arial" w:hAnsi="Arial"/>
                <w:b w:val="0"/>
                <w:sz w:val="16"/>
              </w:rPr>
              <w:t>1,12</w:t>
            </w:r>
          </w:p>
        </w:tc>
        <w:tc>
          <w:tcPr>
            <w:tcW w:type="dxa" w:w="1275"/>
            <w:vAlign w:val="top"/>
          </w:tcPr>
          <w:p>
            <w:r/>
            <w:r>
              <w:rPr>
                <w:rFonts w:ascii="Arial" w:hAnsi="Arial"/>
                <w:b w:val="0"/>
                <w:sz w:val="16"/>
              </w:rPr>
              <w:t>144</w:t>
            </w:r>
          </w:p>
        </w:tc>
        <w:tc>
          <w:tcPr>
            <w:tcW w:type="dxa" w:w="1275"/>
            <w:vAlign w:val="top"/>
          </w:tcPr>
          <w:p>
            <w:r/>
            <w:r>
              <w:rPr>
                <w:rFonts w:ascii="Arial" w:hAnsi="Arial"/>
                <w:b w:val="0"/>
                <w:sz w:val="16"/>
              </w:rPr>
              <w:t>80</w:t>
            </w:r>
          </w:p>
        </w:tc>
        <w:tc>
          <w:tcPr>
            <w:tcW w:type="dxa" w:w="1275"/>
            <w:vAlign w:val="top"/>
          </w:tcPr>
          <w:p>
            <w:r/>
            <w:r>
              <w:rPr>
                <w:rFonts w:ascii="Arial" w:hAnsi="Arial"/>
                <w:b w:val="0"/>
                <w:sz w:val="16"/>
              </w:rPr>
              <w:t>80</w:t>
            </w:r>
          </w:p>
        </w:tc>
        <w:tc>
          <w:tcPr>
            <w:tcW w:type="dxa" w:w="1275"/>
            <w:vAlign w:val="top"/>
          </w:tcPr>
          <w:p>
            <w:r/>
            <w:r>
              <w:rPr>
                <w:rFonts w:ascii="Arial" w:hAnsi="Arial"/>
                <w:b w:val="0"/>
                <w:sz w:val="16"/>
              </w:rPr>
              <w:t>2.054</w:t>
            </w:r>
          </w:p>
        </w:tc>
      </w:tr>
      <w:tr>
        <w:tc>
          <w:tcPr>
            <w:tcW w:type="dxa" w:w="1275"/>
            <w:vAlign w:val="top"/>
            <w:shd w:fill="F6F1E8"/>
          </w:tcPr>
          <w:p>
            <w:r/>
            <w:r>
              <w:rPr>
                <w:rFonts w:ascii="Arial" w:hAnsi="Arial"/>
                <w:b w:val="0"/>
                <w:sz w:val="16"/>
              </w:rPr>
              <w:t>Industriearbeit mit Transformationsbeitrag</w:t>
            </w:r>
          </w:p>
        </w:tc>
        <w:tc>
          <w:tcPr>
            <w:tcW w:type="dxa" w:w="1275"/>
            <w:vAlign w:val="top"/>
          </w:tcPr>
          <w:p>
            <w:r/>
            <w:r>
              <w:rPr>
                <w:rFonts w:ascii="Arial" w:hAnsi="Arial"/>
                <w:b w:val="0"/>
                <w:sz w:val="16"/>
              </w:rPr>
              <w:t>1.200</w:t>
            </w:r>
          </w:p>
        </w:tc>
        <w:tc>
          <w:tcPr>
            <w:tcW w:type="dxa" w:w="1275"/>
            <w:vAlign w:val="top"/>
          </w:tcPr>
          <w:p>
            <w:r/>
            <w:r>
              <w:rPr>
                <w:rFonts w:ascii="Arial" w:hAnsi="Arial"/>
                <w:b w:val="0"/>
                <w:sz w:val="16"/>
              </w:rPr>
              <w:t>850</w:t>
            </w:r>
          </w:p>
        </w:tc>
        <w:tc>
          <w:tcPr>
            <w:tcW w:type="dxa" w:w="1275"/>
            <w:vAlign w:val="top"/>
          </w:tcPr>
          <w:p>
            <w:r/>
            <w:r>
              <w:rPr>
                <w:rFonts w:ascii="Arial" w:hAnsi="Arial"/>
                <w:b w:val="0"/>
                <w:sz w:val="16"/>
              </w:rPr>
              <w:t>1,08</w:t>
            </w:r>
          </w:p>
        </w:tc>
        <w:tc>
          <w:tcPr>
            <w:tcW w:type="dxa" w:w="1275"/>
            <w:vAlign w:val="top"/>
          </w:tcPr>
          <w:p>
            <w:r/>
            <w:r>
              <w:rPr>
                <w:rFonts w:ascii="Arial" w:hAnsi="Arial"/>
                <w:b w:val="0"/>
                <w:sz w:val="16"/>
              </w:rPr>
              <w:t>96</w:t>
            </w:r>
          </w:p>
        </w:tc>
        <w:tc>
          <w:tcPr>
            <w:tcW w:type="dxa" w:w="1275"/>
            <w:vAlign w:val="top"/>
          </w:tcPr>
          <w:p>
            <w:r/>
            <w:r>
              <w:rPr>
                <w:rFonts w:ascii="Arial" w:hAnsi="Arial"/>
                <w:b w:val="0"/>
                <w:sz w:val="16"/>
              </w:rPr>
              <w:t>80</w:t>
            </w:r>
          </w:p>
        </w:tc>
        <w:tc>
          <w:tcPr>
            <w:tcW w:type="dxa" w:w="1275"/>
            <w:vAlign w:val="top"/>
          </w:tcPr>
          <w:p>
            <w:r/>
            <w:r>
              <w:rPr>
                <w:rFonts w:ascii="Arial" w:hAnsi="Arial"/>
                <w:b w:val="0"/>
                <w:sz w:val="16"/>
              </w:rPr>
              <w:t>90</w:t>
            </w:r>
          </w:p>
        </w:tc>
        <w:tc>
          <w:tcPr>
            <w:tcW w:type="dxa" w:w="1275"/>
            <w:vAlign w:val="top"/>
          </w:tcPr>
          <w:p>
            <w:r/>
            <w:r>
              <w:rPr>
                <w:rFonts w:ascii="Arial" w:hAnsi="Arial"/>
                <w:b w:val="0"/>
                <w:sz w:val="16"/>
              </w:rPr>
              <w:t>2.316</w:t>
            </w:r>
          </w:p>
        </w:tc>
      </w:tr>
      <w:tr>
        <w:tc>
          <w:tcPr>
            <w:tcW w:type="dxa" w:w="1275"/>
            <w:vAlign w:val="top"/>
            <w:shd w:fill="F6F1E8"/>
          </w:tcPr>
          <w:p>
            <w:r/>
            <w:r>
              <w:rPr>
                <w:rFonts w:ascii="Arial" w:hAnsi="Arial"/>
                <w:b w:val="0"/>
                <w:sz w:val="16"/>
              </w:rPr>
              <w:t>Fossile Tätigkeit ohne Transformationsbeitrag</w:t>
            </w:r>
          </w:p>
        </w:tc>
        <w:tc>
          <w:tcPr>
            <w:tcW w:type="dxa" w:w="1275"/>
            <w:vAlign w:val="top"/>
          </w:tcPr>
          <w:p>
            <w:r/>
            <w:r>
              <w:rPr>
                <w:rFonts w:ascii="Arial" w:hAnsi="Arial"/>
                <w:b w:val="0"/>
                <w:sz w:val="16"/>
              </w:rPr>
              <w:t>1.200</w:t>
            </w:r>
          </w:p>
        </w:tc>
        <w:tc>
          <w:tcPr>
            <w:tcW w:type="dxa" w:w="1275"/>
            <w:vAlign w:val="top"/>
          </w:tcPr>
          <w:p>
            <w:r/>
            <w:r>
              <w:rPr>
                <w:rFonts w:ascii="Arial" w:hAnsi="Arial"/>
                <w:b w:val="0"/>
                <w:sz w:val="16"/>
              </w:rPr>
              <w:t>1.000</w:t>
            </w:r>
          </w:p>
        </w:tc>
        <w:tc>
          <w:tcPr>
            <w:tcW w:type="dxa" w:w="1275"/>
            <w:vAlign w:val="top"/>
          </w:tcPr>
          <w:p>
            <w:r/>
            <w:r>
              <w:rPr>
                <w:rFonts w:ascii="Arial" w:hAnsi="Arial"/>
                <w:b w:val="0"/>
                <w:sz w:val="16"/>
              </w:rPr>
              <w:t>1,00</w:t>
            </w:r>
          </w:p>
        </w:tc>
        <w:tc>
          <w:tcPr>
            <w:tcW w:type="dxa" w:w="1275"/>
            <w:vAlign w:val="top"/>
          </w:tcPr>
          <w:p>
            <w:r/>
            <w:r>
              <w:rPr>
                <w:rFonts w:ascii="Arial" w:hAnsi="Arial"/>
                <w:b w:val="0"/>
                <w:sz w:val="16"/>
              </w:rPr>
              <w:t>0</w:t>
            </w:r>
          </w:p>
        </w:tc>
        <w:tc>
          <w:tcPr>
            <w:tcW w:type="dxa" w:w="1275"/>
            <w:vAlign w:val="top"/>
          </w:tcPr>
          <w:p>
            <w:r/>
            <w:r>
              <w:rPr>
                <w:rFonts w:ascii="Arial" w:hAnsi="Arial"/>
                <w:b w:val="0"/>
                <w:sz w:val="16"/>
              </w:rPr>
              <w:t>60</w:t>
            </w:r>
          </w:p>
        </w:tc>
        <w:tc>
          <w:tcPr>
            <w:tcW w:type="dxa" w:w="1275"/>
            <w:vAlign w:val="top"/>
          </w:tcPr>
          <w:p>
            <w:r/>
            <w:r>
              <w:rPr>
                <w:rFonts w:ascii="Arial" w:hAnsi="Arial"/>
                <w:b w:val="0"/>
                <w:sz w:val="16"/>
              </w:rPr>
              <w:t>60</w:t>
            </w:r>
          </w:p>
        </w:tc>
        <w:tc>
          <w:tcPr>
            <w:tcW w:type="dxa" w:w="1275"/>
            <w:vAlign w:val="top"/>
          </w:tcPr>
          <w:p>
            <w:r/>
            <w:r>
              <w:rPr>
                <w:rFonts w:ascii="Arial" w:hAnsi="Arial"/>
                <w:b w:val="0"/>
                <w:sz w:val="16"/>
              </w:rPr>
              <w:t>2.320</w:t>
            </w:r>
          </w:p>
        </w:tc>
      </w:tr>
      <w:tr>
        <w:tc>
          <w:tcPr>
            <w:tcW w:type="dxa" w:w="1275"/>
            <w:vAlign w:val="top"/>
            <w:shd w:fill="F6F1E8"/>
          </w:tcPr>
          <w:p>
            <w:r/>
            <w:r>
              <w:rPr>
                <w:rFonts w:ascii="Arial" w:hAnsi="Arial"/>
                <w:b w:val="0"/>
                <w:sz w:val="16"/>
              </w:rPr>
              <w:t>Geringe Erwerbsbiografie, viel Ehrenamt</w:t>
            </w:r>
          </w:p>
        </w:tc>
        <w:tc>
          <w:tcPr>
            <w:tcW w:type="dxa" w:w="1275"/>
            <w:vAlign w:val="top"/>
          </w:tcPr>
          <w:p>
            <w:r/>
            <w:r>
              <w:rPr>
                <w:rFonts w:ascii="Arial" w:hAnsi="Arial"/>
                <w:b w:val="0"/>
                <w:sz w:val="16"/>
              </w:rPr>
              <w:t>1.200</w:t>
            </w:r>
          </w:p>
        </w:tc>
        <w:tc>
          <w:tcPr>
            <w:tcW w:type="dxa" w:w="1275"/>
            <w:vAlign w:val="top"/>
          </w:tcPr>
          <w:p>
            <w:r/>
            <w:r>
              <w:rPr>
                <w:rFonts w:ascii="Arial" w:hAnsi="Arial"/>
                <w:b w:val="0"/>
                <w:sz w:val="16"/>
              </w:rPr>
              <w:t>250</w:t>
            </w:r>
          </w:p>
        </w:tc>
        <w:tc>
          <w:tcPr>
            <w:tcW w:type="dxa" w:w="1275"/>
            <w:vAlign w:val="top"/>
          </w:tcPr>
          <w:p>
            <w:r/>
            <w:r>
              <w:rPr>
                <w:rFonts w:ascii="Arial" w:hAnsi="Arial"/>
                <w:b w:val="0"/>
                <w:sz w:val="16"/>
              </w:rPr>
              <w:t>1,15</w:t>
            </w:r>
          </w:p>
        </w:tc>
        <w:tc>
          <w:tcPr>
            <w:tcW w:type="dxa" w:w="1275"/>
            <w:vAlign w:val="top"/>
          </w:tcPr>
          <w:p>
            <w:r/>
            <w:r>
              <w:rPr>
                <w:rFonts w:ascii="Arial" w:hAnsi="Arial"/>
                <w:b w:val="0"/>
                <w:sz w:val="16"/>
              </w:rPr>
              <w:t>180</w:t>
            </w:r>
          </w:p>
        </w:tc>
        <w:tc>
          <w:tcPr>
            <w:tcW w:type="dxa" w:w="1275"/>
            <w:vAlign w:val="top"/>
          </w:tcPr>
          <w:p>
            <w:r/>
            <w:r>
              <w:rPr>
                <w:rFonts w:ascii="Arial" w:hAnsi="Arial"/>
                <w:b w:val="0"/>
                <w:sz w:val="16"/>
              </w:rPr>
              <w:t>80</w:t>
            </w:r>
          </w:p>
        </w:tc>
        <w:tc>
          <w:tcPr>
            <w:tcW w:type="dxa" w:w="1275"/>
            <w:vAlign w:val="top"/>
          </w:tcPr>
          <w:p>
            <w:r/>
            <w:r>
              <w:rPr>
                <w:rFonts w:ascii="Arial" w:hAnsi="Arial"/>
                <w:b w:val="0"/>
                <w:sz w:val="16"/>
              </w:rPr>
              <w:t>50</w:t>
            </w:r>
          </w:p>
        </w:tc>
        <w:tc>
          <w:tcPr>
            <w:tcW w:type="dxa" w:w="1275"/>
            <w:vAlign w:val="top"/>
          </w:tcPr>
          <w:p>
            <w:r/>
            <w:r>
              <w:rPr>
                <w:rFonts w:ascii="Arial" w:hAnsi="Arial"/>
                <w:b w:val="0"/>
                <w:sz w:val="16"/>
              </w:rPr>
              <w:t>1.760</w:t>
            </w:r>
          </w:p>
        </w:tc>
      </w:tr>
    </w:tbl>
    <w:p/>
    <w:p>
      <w:r>
        <w:t>Diese Beispiele zeigen keine gesetzliche Festlegung. Sie zeigen, wie ein Schutzkorridor und ein positiver Wirkungsbonus Lebenswirkung sichtbar machen können, ohne erworbene Ansprüche zu zerstören oder Menschen mit niedriger Datenlage zu bestrafen.</w:t>
      </w:r>
    </w:p>
    <w:p>
      <w:pPr>
        <w:pStyle w:val="Heading1"/>
      </w:pPr>
      <w:r>
        <w:t>5. Datenquellen und Vertrauensstufen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shd w:fill="0B132B"/>
          </w:tcPr>
          <w:p>
            <w:r/>
            <w:r>
              <w:rPr>
                <w:rFonts w:ascii="Arial" w:hAnsi="Arial"/>
                <w:b/>
                <w:color w:val="FFFFFF"/>
                <w:sz w:val="17"/>
              </w:rPr>
              <w:t>Datenquelle</w:t>
            </w:r>
          </w:p>
        </w:tc>
        <w:tc>
          <w:tcPr>
            <w:tcW w:type="dxa" w:w="2550"/>
            <w:vAlign w:val="top"/>
            <w:shd w:fill="0B132B"/>
          </w:tcPr>
          <w:p>
            <w:r/>
            <w:r>
              <w:rPr>
                <w:rFonts w:ascii="Arial" w:hAnsi="Arial"/>
                <w:b/>
                <w:color w:val="FFFFFF"/>
                <w:sz w:val="17"/>
              </w:rPr>
              <w:t>Mögliche Nutzung</w:t>
            </w:r>
          </w:p>
        </w:tc>
        <w:tc>
          <w:tcPr>
            <w:tcW w:type="dxa" w:w="2550"/>
            <w:vAlign w:val="top"/>
            <w:shd w:fill="0B132B"/>
          </w:tcPr>
          <w:p>
            <w:r/>
            <w:r>
              <w:rPr>
                <w:rFonts w:ascii="Arial" w:hAnsi="Arial"/>
                <w:b/>
                <w:color w:val="FFFFFF"/>
                <w:sz w:val="17"/>
              </w:rPr>
              <w:t>Vertrauensstufe</w:t>
            </w:r>
          </w:p>
        </w:tc>
        <w:tc>
          <w:tcPr>
            <w:tcW w:type="dxa" w:w="2550"/>
            <w:vAlign w:val="top"/>
            <w:shd w:fill="0B132B"/>
          </w:tcPr>
          <w:p>
            <w:r/>
            <w:r>
              <w:rPr>
                <w:rFonts w:ascii="Arial" w:hAnsi="Arial"/>
                <w:b/>
                <w:color w:val="FFFFFF"/>
                <w:sz w:val="17"/>
              </w:rPr>
              <w:t>Risiko</w:t>
            </w:r>
          </w:p>
        </w:tc>
      </w:tr>
      <w:tr>
        <w:tc>
          <w:tcPr>
            <w:tcW w:type="dxa" w:w="2550"/>
            <w:vAlign w:val="top"/>
            <w:shd w:fill="F6F1E8"/>
          </w:tcPr>
          <w:p>
            <w:r/>
            <w:r>
              <w:rPr>
                <w:rFonts w:ascii="Arial" w:hAnsi="Arial"/>
                <w:b w:val="0"/>
                <w:sz w:val="16"/>
              </w:rPr>
              <w:t>Rentenversicherung / Beitragszeiten</w:t>
            </w:r>
          </w:p>
        </w:tc>
        <w:tc>
          <w:tcPr>
            <w:tcW w:type="dxa" w:w="2550"/>
            <w:vAlign w:val="top"/>
          </w:tcPr>
          <w:p>
            <w:r/>
            <w:r>
              <w:rPr>
                <w:rFonts w:ascii="Arial" w:hAnsi="Arial"/>
                <w:b w:val="0"/>
                <w:sz w:val="16"/>
              </w:rPr>
              <w:t>klassische Anwartschaften</w:t>
            </w:r>
          </w:p>
        </w:tc>
        <w:tc>
          <w:tcPr>
            <w:tcW w:type="dxa" w:w="2550"/>
            <w:vAlign w:val="top"/>
          </w:tcPr>
          <w:p>
            <w:r/>
            <w:r>
              <w:rPr>
                <w:rFonts w:ascii="Arial" w:hAnsi="Arial"/>
                <w:b w:val="0"/>
                <w:sz w:val="16"/>
              </w:rPr>
              <w:t>hoch</w:t>
            </w:r>
          </w:p>
        </w:tc>
        <w:tc>
          <w:tcPr>
            <w:tcW w:type="dxa" w:w="2550"/>
            <w:vAlign w:val="top"/>
          </w:tcPr>
          <w:p>
            <w:r/>
            <w:r>
              <w:rPr>
                <w:rFonts w:ascii="Arial" w:hAnsi="Arial"/>
                <w:b w:val="0"/>
                <w:sz w:val="16"/>
              </w:rPr>
              <w:t>bildet Wirkung nur indirekt ab</w:t>
            </w:r>
          </w:p>
        </w:tc>
      </w:tr>
      <w:tr>
        <w:tc>
          <w:tcPr>
            <w:tcW w:type="dxa" w:w="2550"/>
            <w:vAlign w:val="top"/>
            <w:shd w:fill="F6F1E8"/>
          </w:tcPr>
          <w:p>
            <w:r/>
            <w:r>
              <w:rPr>
                <w:rFonts w:ascii="Arial" w:hAnsi="Arial"/>
                <w:b w:val="0"/>
                <w:sz w:val="16"/>
              </w:rPr>
              <w:t>Pflege-/Care-Nachweise</w:t>
            </w:r>
          </w:p>
        </w:tc>
        <w:tc>
          <w:tcPr>
            <w:tcW w:type="dxa" w:w="2550"/>
            <w:vAlign w:val="top"/>
          </w:tcPr>
          <w:p>
            <w:r/>
            <w:r>
              <w:rPr>
                <w:rFonts w:ascii="Arial" w:hAnsi="Arial"/>
                <w:b w:val="0"/>
                <w:sz w:val="16"/>
              </w:rPr>
              <w:t>Care-Bonus und Entlastungswirkung</w:t>
            </w:r>
          </w:p>
        </w:tc>
        <w:tc>
          <w:tcPr>
            <w:tcW w:type="dxa" w:w="2550"/>
            <w:vAlign w:val="top"/>
          </w:tcPr>
          <w:p>
            <w:r/>
            <w:r>
              <w:rPr>
                <w:rFonts w:ascii="Arial" w:hAnsi="Arial"/>
                <w:b w:val="0"/>
                <w:sz w:val="16"/>
              </w:rPr>
              <w:t>mittel bis hoch</w:t>
            </w:r>
          </w:p>
        </w:tc>
        <w:tc>
          <w:tcPr>
            <w:tcW w:type="dxa" w:w="2550"/>
            <w:vAlign w:val="top"/>
          </w:tcPr>
          <w:p>
            <w:r/>
            <w:r>
              <w:rPr>
                <w:rFonts w:ascii="Arial" w:hAnsi="Arial"/>
                <w:b w:val="0"/>
                <w:sz w:val="16"/>
              </w:rPr>
              <w:t>Bürokratie und Datenschutz</w:t>
            </w:r>
          </w:p>
        </w:tc>
      </w:tr>
      <w:tr>
        <w:tc>
          <w:tcPr>
            <w:tcW w:type="dxa" w:w="2550"/>
            <w:vAlign w:val="top"/>
            <w:shd w:fill="F6F1E8"/>
          </w:tcPr>
          <w:p>
            <w:r/>
            <w:r>
              <w:rPr>
                <w:rFonts w:ascii="Arial" w:hAnsi="Arial"/>
                <w:b w:val="0"/>
                <w:sz w:val="16"/>
              </w:rPr>
              <w:t>Bildungs-/Qualifikationsnachweise</w:t>
            </w:r>
          </w:p>
        </w:tc>
        <w:tc>
          <w:tcPr>
            <w:tcW w:type="dxa" w:w="2550"/>
            <w:vAlign w:val="top"/>
          </w:tcPr>
          <w:p>
            <w:r/>
            <w:r>
              <w:rPr>
                <w:rFonts w:ascii="Arial" w:hAnsi="Arial"/>
                <w:b w:val="0"/>
                <w:sz w:val="16"/>
              </w:rPr>
              <w:t>Weiterbildung, Future Skills</w:t>
            </w:r>
          </w:p>
        </w:tc>
        <w:tc>
          <w:tcPr>
            <w:tcW w:type="dxa" w:w="2550"/>
            <w:vAlign w:val="top"/>
          </w:tcPr>
          <w:p>
            <w:r/>
            <w:r>
              <w:rPr>
                <w:rFonts w:ascii="Arial" w:hAnsi="Arial"/>
                <w:b w:val="0"/>
                <w:sz w:val="16"/>
              </w:rPr>
              <w:t>mittel</w:t>
            </w:r>
          </w:p>
        </w:tc>
        <w:tc>
          <w:tcPr>
            <w:tcW w:type="dxa" w:w="2550"/>
            <w:vAlign w:val="top"/>
          </w:tcPr>
          <w:p>
            <w:r/>
            <w:r>
              <w:rPr>
                <w:rFonts w:ascii="Arial" w:hAnsi="Arial"/>
                <w:b w:val="0"/>
                <w:sz w:val="16"/>
              </w:rPr>
              <w:t>Zugangsgerechtigkeit</w:t>
            </w:r>
          </w:p>
        </w:tc>
      </w:tr>
      <w:tr>
        <w:tc>
          <w:tcPr>
            <w:tcW w:type="dxa" w:w="2550"/>
            <w:vAlign w:val="top"/>
            <w:shd w:fill="F6F1E8"/>
          </w:tcPr>
          <w:p>
            <w:r/>
            <w:r>
              <w:rPr>
                <w:rFonts w:ascii="Arial" w:hAnsi="Arial"/>
                <w:b w:val="0"/>
                <w:sz w:val="16"/>
              </w:rPr>
              <w:t>Ehrenamts-/Vereinsnachweise</w:t>
            </w:r>
          </w:p>
        </w:tc>
        <w:tc>
          <w:tcPr>
            <w:tcW w:type="dxa" w:w="2550"/>
            <w:vAlign w:val="top"/>
          </w:tcPr>
          <w:p>
            <w:r/>
            <w:r>
              <w:rPr>
                <w:rFonts w:ascii="Arial" w:hAnsi="Arial"/>
                <w:b w:val="0"/>
                <w:sz w:val="16"/>
              </w:rPr>
              <w:t>Gemeinwesenwirkung</w:t>
            </w:r>
          </w:p>
        </w:tc>
        <w:tc>
          <w:tcPr>
            <w:tcW w:type="dxa" w:w="2550"/>
            <w:vAlign w:val="top"/>
          </w:tcPr>
          <w:p>
            <w:r/>
            <w:r>
              <w:rPr>
                <w:rFonts w:ascii="Arial" w:hAnsi="Arial"/>
                <w:b w:val="0"/>
                <w:sz w:val="16"/>
              </w:rPr>
              <w:t>mittel</w:t>
            </w:r>
          </w:p>
        </w:tc>
        <w:tc>
          <w:tcPr>
            <w:tcW w:type="dxa" w:w="2550"/>
            <w:vAlign w:val="top"/>
          </w:tcPr>
          <w:p>
            <w:r/>
            <w:r>
              <w:rPr>
                <w:rFonts w:ascii="Arial" w:hAnsi="Arial"/>
                <w:b w:val="0"/>
                <w:sz w:val="16"/>
              </w:rPr>
              <w:t>Nachweis ohne Überforderung</w:t>
            </w:r>
          </w:p>
        </w:tc>
      </w:tr>
      <w:tr>
        <w:tc>
          <w:tcPr>
            <w:tcW w:type="dxa" w:w="2550"/>
            <w:vAlign w:val="top"/>
            <w:shd w:fill="F6F1E8"/>
          </w:tcPr>
          <w:p>
            <w:r/>
            <w:r>
              <w:rPr>
                <w:rFonts w:ascii="Arial" w:hAnsi="Arial"/>
                <w:b w:val="0"/>
                <w:sz w:val="16"/>
              </w:rPr>
              <w:t>WÖk-IDs / Branchenwirkung</w:t>
            </w:r>
          </w:p>
        </w:tc>
        <w:tc>
          <w:tcPr>
            <w:tcW w:type="dxa" w:w="2550"/>
            <w:vAlign w:val="top"/>
          </w:tcPr>
          <w:p>
            <w:r/>
            <w:r>
              <w:rPr>
                <w:rFonts w:ascii="Arial" w:hAnsi="Arial"/>
                <w:b w:val="0"/>
                <w:sz w:val="16"/>
              </w:rPr>
              <w:t>Berufsfeld- und Sektorbezug</w:t>
            </w:r>
          </w:p>
        </w:tc>
        <w:tc>
          <w:tcPr>
            <w:tcW w:type="dxa" w:w="2550"/>
            <w:vAlign w:val="top"/>
          </w:tcPr>
          <w:p>
            <w:r/>
            <w:r>
              <w:rPr>
                <w:rFonts w:ascii="Arial" w:hAnsi="Arial"/>
                <w:b w:val="0"/>
                <w:sz w:val="16"/>
              </w:rPr>
              <w:t>in Aufbau</w:t>
            </w:r>
          </w:p>
        </w:tc>
        <w:tc>
          <w:tcPr>
            <w:tcW w:type="dxa" w:w="2550"/>
            <w:vAlign w:val="top"/>
          </w:tcPr>
          <w:p>
            <w:r/>
            <w:r>
              <w:rPr>
                <w:rFonts w:ascii="Arial" w:hAnsi="Arial"/>
                <w:b w:val="0"/>
                <w:sz w:val="16"/>
              </w:rPr>
              <w:t>keine pauschale Personenzurechnung</w:t>
            </w:r>
          </w:p>
        </w:tc>
      </w:tr>
      <w:tr>
        <w:tc>
          <w:tcPr>
            <w:tcW w:type="dxa" w:w="2550"/>
            <w:vAlign w:val="top"/>
            <w:shd w:fill="F6F1E8"/>
          </w:tcPr>
          <w:p>
            <w:r/>
            <w:r>
              <w:rPr>
                <w:rFonts w:ascii="Arial" w:hAnsi="Arial"/>
                <w:b w:val="0"/>
                <w:sz w:val="16"/>
              </w:rPr>
              <w:t>Wirkungsfonds-Daten</w:t>
            </w:r>
          </w:p>
        </w:tc>
        <w:tc>
          <w:tcPr>
            <w:tcW w:type="dxa" w:w="2550"/>
            <w:vAlign w:val="top"/>
          </w:tcPr>
          <w:p>
            <w:r/>
            <w:r>
              <w:rPr>
                <w:rFonts w:ascii="Arial" w:hAnsi="Arial"/>
                <w:b w:val="0"/>
                <w:sz w:val="16"/>
              </w:rPr>
              <w:t>Dividende und Kapitalwirkung</w:t>
            </w:r>
          </w:p>
        </w:tc>
        <w:tc>
          <w:tcPr>
            <w:tcW w:type="dxa" w:w="2550"/>
            <w:vAlign w:val="top"/>
          </w:tcPr>
          <w:p>
            <w:r/>
            <w:r>
              <w:rPr>
                <w:rFonts w:ascii="Arial" w:hAnsi="Arial"/>
                <w:b w:val="0"/>
                <w:sz w:val="16"/>
              </w:rPr>
              <w:t>mittel bis hoch</w:t>
            </w:r>
          </w:p>
        </w:tc>
        <w:tc>
          <w:tcPr>
            <w:tcW w:type="dxa" w:w="2550"/>
            <w:vAlign w:val="top"/>
          </w:tcPr>
          <w:p>
            <w:r/>
            <w:r>
              <w:rPr>
                <w:rFonts w:ascii="Arial" w:hAnsi="Arial"/>
                <w:b w:val="0"/>
                <w:sz w:val="16"/>
              </w:rPr>
              <w:t>Marktrisiko, Governance</w:t>
            </w:r>
          </w:p>
        </w:tc>
      </w:tr>
    </w:tbl>
    <w:p/>
    <w:p>
      <w:pPr>
        <w:pStyle w:val="Heading1"/>
      </w:pPr>
      <w:r>
        <w:t>6. Politische Szenarien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shd w:fill="0B132B"/>
          </w:tcPr>
          <w:p>
            <w:r/>
            <w:r>
              <w:rPr>
                <w:rFonts w:ascii="Arial" w:hAnsi="Arial"/>
                <w:b/>
                <w:color w:val="FFFFFF"/>
                <w:sz w:val="17"/>
              </w:rPr>
              <w:t>Szenario</w:t>
            </w:r>
          </w:p>
        </w:tc>
        <w:tc>
          <w:tcPr>
            <w:tcW w:type="dxa" w:w="2550"/>
            <w:vAlign w:val="top"/>
            <w:shd w:fill="0B132B"/>
          </w:tcPr>
          <w:p>
            <w:r/>
            <w:r>
              <w:rPr>
                <w:rFonts w:ascii="Arial" w:hAnsi="Arial"/>
                <w:b/>
                <w:color w:val="FFFFFF"/>
                <w:sz w:val="17"/>
              </w:rPr>
              <w:t>Beschreibung</w:t>
            </w:r>
          </w:p>
        </w:tc>
        <w:tc>
          <w:tcPr>
            <w:tcW w:type="dxa" w:w="2550"/>
            <w:vAlign w:val="top"/>
            <w:shd w:fill="0B132B"/>
          </w:tcPr>
          <w:p>
            <w:r/>
            <w:r>
              <w:rPr>
                <w:rFonts w:ascii="Arial" w:hAnsi="Arial"/>
                <w:b/>
                <w:color w:val="FFFFFF"/>
                <w:sz w:val="17"/>
              </w:rPr>
              <w:t>Vorteil</w:t>
            </w:r>
          </w:p>
        </w:tc>
        <w:tc>
          <w:tcPr>
            <w:tcW w:type="dxa" w:w="2550"/>
            <w:vAlign w:val="top"/>
            <w:shd w:fill="0B132B"/>
          </w:tcPr>
          <w:p>
            <w:r/>
            <w:r>
              <w:rPr>
                <w:rFonts w:ascii="Arial" w:hAnsi="Arial"/>
                <w:b/>
                <w:color w:val="FFFFFF"/>
                <w:sz w:val="17"/>
              </w:rPr>
              <w:t>Risiko</w:t>
            </w:r>
          </w:p>
        </w:tc>
      </w:tr>
      <w:tr>
        <w:tc>
          <w:tcPr>
            <w:tcW w:type="dxa" w:w="2550"/>
            <w:vAlign w:val="top"/>
            <w:shd w:fill="F6F1E8"/>
          </w:tcPr>
          <w:p>
            <w:r/>
            <w:r>
              <w:rPr>
                <w:rFonts w:ascii="Arial" w:hAnsi="Arial"/>
                <w:b w:val="0"/>
                <w:sz w:val="16"/>
              </w:rPr>
              <w:t>Minimaler Pilot</w:t>
            </w:r>
          </w:p>
        </w:tc>
        <w:tc>
          <w:tcPr>
            <w:tcW w:type="dxa" w:w="2550"/>
            <w:vAlign w:val="top"/>
          </w:tcPr>
          <w:p>
            <w:r/>
            <w:r>
              <w:rPr>
                <w:rFonts w:ascii="Arial" w:hAnsi="Arial"/>
                <w:b w:val="0"/>
                <w:sz w:val="16"/>
              </w:rPr>
              <w:t>freiwilliges Lebenswirkungs-Konto und Care-Bonus</w:t>
            </w:r>
          </w:p>
        </w:tc>
        <w:tc>
          <w:tcPr>
            <w:tcW w:type="dxa" w:w="2550"/>
            <w:vAlign w:val="top"/>
          </w:tcPr>
          <w:p>
            <w:r/>
            <w:r>
              <w:rPr>
                <w:rFonts w:ascii="Arial" w:hAnsi="Arial"/>
                <w:b w:val="0"/>
                <w:sz w:val="16"/>
              </w:rPr>
              <w:t>geringe Eingriffstiefe</w:t>
            </w:r>
          </w:p>
        </w:tc>
        <w:tc>
          <w:tcPr>
            <w:tcW w:type="dxa" w:w="2550"/>
            <w:vAlign w:val="top"/>
          </w:tcPr>
          <w:p>
            <w:r/>
            <w:r>
              <w:rPr>
                <w:rFonts w:ascii="Arial" w:hAnsi="Arial"/>
                <w:b w:val="0"/>
                <w:sz w:val="16"/>
              </w:rPr>
              <w:t>begrenzte Wirkung</w:t>
            </w:r>
          </w:p>
        </w:tc>
      </w:tr>
      <w:tr>
        <w:tc>
          <w:tcPr>
            <w:tcW w:type="dxa" w:w="2550"/>
            <w:vAlign w:val="top"/>
            <w:shd w:fill="F6F1E8"/>
          </w:tcPr>
          <w:p>
            <w:r/>
            <w:r>
              <w:rPr>
                <w:rFonts w:ascii="Arial" w:hAnsi="Arial"/>
                <w:b w:val="0"/>
                <w:sz w:val="16"/>
              </w:rPr>
              <w:t>Sozialstaatliche Ergänzung</w:t>
            </w:r>
          </w:p>
        </w:tc>
        <w:tc>
          <w:tcPr>
            <w:tcW w:type="dxa" w:w="2550"/>
            <w:vAlign w:val="top"/>
          </w:tcPr>
          <w:p>
            <w:r/>
            <w:r>
              <w:rPr>
                <w:rFonts w:ascii="Arial" w:hAnsi="Arial"/>
                <w:b w:val="0"/>
                <w:sz w:val="16"/>
              </w:rPr>
              <w:t>Basisrente plus Anerkennung nicht-marktlicher Wirkung</w:t>
            </w:r>
          </w:p>
        </w:tc>
        <w:tc>
          <w:tcPr>
            <w:tcW w:type="dxa" w:w="2550"/>
            <w:vAlign w:val="top"/>
          </w:tcPr>
          <w:p>
            <w:r/>
            <w:r>
              <w:rPr>
                <w:rFonts w:ascii="Arial" w:hAnsi="Arial"/>
                <w:b w:val="0"/>
                <w:sz w:val="16"/>
              </w:rPr>
              <w:t>starke Armutsprävention</w:t>
            </w:r>
          </w:p>
        </w:tc>
        <w:tc>
          <w:tcPr>
            <w:tcW w:type="dxa" w:w="2550"/>
            <w:vAlign w:val="top"/>
          </w:tcPr>
          <w:p>
            <w:r/>
            <w:r>
              <w:rPr>
                <w:rFonts w:ascii="Arial" w:hAnsi="Arial"/>
                <w:b w:val="0"/>
                <w:sz w:val="16"/>
              </w:rPr>
              <w:t>Finanzierung politisch umstritten</w:t>
            </w:r>
          </w:p>
        </w:tc>
      </w:tr>
      <w:tr>
        <w:tc>
          <w:tcPr>
            <w:tcW w:type="dxa" w:w="2550"/>
            <w:vAlign w:val="top"/>
            <w:shd w:fill="F6F1E8"/>
          </w:tcPr>
          <w:p>
            <w:r/>
            <w:r>
              <w:rPr>
                <w:rFonts w:ascii="Arial" w:hAnsi="Arial"/>
                <w:b w:val="0"/>
                <w:sz w:val="16"/>
              </w:rPr>
              <w:t>Fondsorientiert</w:t>
            </w:r>
          </w:p>
        </w:tc>
        <w:tc>
          <w:tcPr>
            <w:tcW w:type="dxa" w:w="2550"/>
            <w:vAlign w:val="top"/>
          </w:tcPr>
          <w:p>
            <w:r/>
            <w:r>
              <w:rPr>
                <w:rFonts w:ascii="Arial" w:hAnsi="Arial"/>
                <w:b w:val="0"/>
                <w:sz w:val="16"/>
              </w:rPr>
              <w:t>Renten-Impact-Fonds und Wirkungsdividende</w:t>
            </w:r>
          </w:p>
        </w:tc>
        <w:tc>
          <w:tcPr>
            <w:tcW w:type="dxa" w:w="2550"/>
            <w:vAlign w:val="top"/>
          </w:tcPr>
          <w:p>
            <w:r/>
            <w:r>
              <w:rPr>
                <w:rFonts w:ascii="Arial" w:hAnsi="Arial"/>
                <w:b w:val="0"/>
                <w:sz w:val="16"/>
              </w:rPr>
              <w:t>Kapitalwirkung nutzbar</w:t>
            </w:r>
          </w:p>
        </w:tc>
        <w:tc>
          <w:tcPr>
            <w:tcW w:type="dxa" w:w="2550"/>
            <w:vAlign w:val="top"/>
          </w:tcPr>
          <w:p>
            <w:r/>
            <w:r>
              <w:rPr>
                <w:rFonts w:ascii="Arial" w:hAnsi="Arial"/>
                <w:b w:val="0"/>
                <w:sz w:val="16"/>
              </w:rPr>
              <w:t>Governance und Marktrisiko</w:t>
            </w:r>
          </w:p>
        </w:tc>
      </w:tr>
      <w:tr>
        <w:tc>
          <w:tcPr>
            <w:tcW w:type="dxa" w:w="2550"/>
            <w:vAlign w:val="top"/>
            <w:shd w:fill="F6F1E8"/>
          </w:tcPr>
          <w:p>
            <w:r/>
            <w:r>
              <w:rPr>
                <w:rFonts w:ascii="Arial" w:hAnsi="Arial"/>
                <w:b w:val="0"/>
                <w:sz w:val="16"/>
              </w:rPr>
              <w:t>Automatisierungsdividende</w:t>
            </w:r>
          </w:p>
        </w:tc>
        <w:tc>
          <w:tcPr>
            <w:tcW w:type="dxa" w:w="2550"/>
            <w:vAlign w:val="top"/>
          </w:tcPr>
          <w:p>
            <w:r/>
            <w:r>
              <w:rPr>
                <w:rFonts w:ascii="Arial" w:hAnsi="Arial"/>
                <w:b w:val="0"/>
                <w:sz w:val="16"/>
              </w:rPr>
              <w:t>Maschinenleistung fließt in Wirkungsfonds</w:t>
            </w:r>
          </w:p>
        </w:tc>
        <w:tc>
          <w:tcPr>
            <w:tcW w:type="dxa" w:w="2550"/>
            <w:vAlign w:val="top"/>
          </w:tcPr>
          <w:p>
            <w:r/>
            <w:r>
              <w:rPr>
                <w:rFonts w:ascii="Arial" w:hAnsi="Arial"/>
                <w:b w:val="0"/>
                <w:sz w:val="16"/>
              </w:rPr>
              <w:t>zukunftsfähige Finanzierungsbasis</w:t>
            </w:r>
          </w:p>
        </w:tc>
        <w:tc>
          <w:tcPr>
            <w:tcW w:type="dxa" w:w="2550"/>
            <w:vAlign w:val="top"/>
          </w:tcPr>
          <w:p>
            <w:r/>
            <w:r>
              <w:rPr>
                <w:rFonts w:ascii="Arial" w:hAnsi="Arial"/>
                <w:b w:val="0"/>
                <w:sz w:val="16"/>
              </w:rPr>
              <w:t>Definition von Maschinenwertschöpfung</w:t>
            </w:r>
          </w:p>
        </w:tc>
      </w:tr>
      <w:tr>
        <w:tc>
          <w:tcPr>
            <w:tcW w:type="dxa" w:w="2550"/>
            <w:vAlign w:val="top"/>
            <w:shd w:fill="F6F1E8"/>
          </w:tcPr>
          <w:p>
            <w:r/>
            <w:r>
              <w:rPr>
                <w:rFonts w:ascii="Arial" w:hAnsi="Arial"/>
                <w:b w:val="0"/>
                <w:sz w:val="16"/>
              </w:rPr>
              <w:t>Vollständige WÖk-Integration</w:t>
            </w:r>
          </w:p>
        </w:tc>
        <w:tc>
          <w:tcPr>
            <w:tcW w:type="dxa" w:w="2550"/>
            <w:vAlign w:val="top"/>
          </w:tcPr>
          <w:p>
            <w:r/>
            <w:r>
              <w:rPr>
                <w:rFonts w:ascii="Arial" w:hAnsi="Arial"/>
                <w:b w:val="0"/>
                <w:sz w:val="16"/>
              </w:rPr>
              <w:t>WUStG, WEstG, WStG, Wirkungsfonds und Wirkungsrente verknüpft</w:t>
            </w:r>
          </w:p>
        </w:tc>
        <w:tc>
          <w:tcPr>
            <w:tcW w:type="dxa" w:w="2550"/>
            <w:vAlign w:val="top"/>
          </w:tcPr>
          <w:p>
            <w:r/>
            <w:r>
              <w:rPr>
                <w:rFonts w:ascii="Arial" w:hAnsi="Arial"/>
                <w:b w:val="0"/>
                <w:sz w:val="16"/>
              </w:rPr>
              <w:t>systemische Kohärenz</w:t>
            </w:r>
          </w:p>
        </w:tc>
        <w:tc>
          <w:tcPr>
            <w:tcW w:type="dxa" w:w="2550"/>
            <w:vAlign w:val="top"/>
          </w:tcPr>
          <w:p>
            <w:r/>
            <w:r>
              <w:rPr>
                <w:rFonts w:ascii="Arial" w:hAnsi="Arial"/>
                <w:b w:val="0"/>
                <w:sz w:val="16"/>
              </w:rPr>
              <w:t>lange Übergangsphase nötig</w:t>
            </w:r>
          </w:p>
        </w:tc>
      </w:tr>
    </w:tbl>
    <w:p/>
    <w:p>
      <w:pPr>
        <w:pStyle w:val="Heading1"/>
      </w:pPr>
      <w:r>
        <w:t>7. Dossier je Unterbereich</w:t>
      </w:r>
    </w:p>
    <w:p>
      <w:pPr>
        <w:pStyle w:val="Heading2"/>
      </w:pPr>
      <w:r>
        <w:t>Wirkungsrente und neuer Generationenvertrag</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Die Wirkungsrente denkt Generationenvertrag als Wirkungskreislauf: Die Wirkenden sichern die Zukunft der Wirkenden. Rente wird nicht nur als Auszahlung vergangener Beiträge verstanden, sondern als Anerkennung und Stabilisierung eines lebenslangen Wirkungsbeitrags.</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Basisrente, Würdesicherung und soziale Teilhabe</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Eine wirkungsökonomische Basisrente schützt Würde und Teilhabe unabhängig davon, ob Lebensleistung in hohe Einkommen übersetzt wurde. Sie ist kein Almosen, sondern die untere Stabilitätsebene eines demokratischen Gemeinwesens.</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Lebenswirkungs-Konto und Wirkungsbiografie</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Das Lebenswirkungs-Konto macht Wirkung über den Lebenslauf sichtbar, ohne Menschen zu bewerten. Es dokumentiert anerkannte Wirkungsräume, Qualifikationen, Care-Zeiten, Engagement, Transformationsbeiträge und Belastungen als Grundlage für Transparenz und Fairness.</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Lebenswirkungs-Faktor und Berechnungslogik</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Der Lebenswirkungs-Faktor ergänzt die klassische Rentenlogik um eine begrenzte, transparente und überprüfbare Wirkungslogik. Er erhöht nicht beliebig, sondern korrigiert erkennbare Wirkungslücken, ohne die Würdegrenze zu unterschreiten.</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Care, Bildung, Pflege, Ehrenamt und Wirkleistung</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Die Wirkungsrente erkennt nicht-marktliche und unterbewertete Wirkleistung als systemische Leistung an. Sie unterscheidet dabei zwischen echter Wirkleistung, bloßer Aktivität und symbolischer Behauptung.</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Automatisierung, Sozialabgaben-Entkopplung und Wirkungsdividende</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Die Wirkungsökonomie entkoppelt die Finanzierungsbasis sozialer Sicherung schrittweise von menschlicher Arbeitsleistung. Automatisierte Wertschöpfung wird nicht bestraft, sondern gesellschaftlich rückgekoppelt: in Wirkungsfonds, Wirkungsdividende und sozial stabile Übergänge.</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Renten-Impact-Fonds und Wirkungsfondsarchitektur</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Wirkungsfonds investieren Kapital nach positiver Netto-Wirkung. Der Renten-Impact-Fonds wird nicht als Spekulationsinstrument verstanden, sondern als Transformations- und Stabilitätsinstrument für Bildung, Gesundheit, Wohnen, Klima, Pflege, Demokratie und Infrastruktur.</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Betriebliche und private Vorsorge nach Wirkung</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Die Wirkungsökonomie ordnet betriebliche und private Vorsorge nicht ab, sondern richtet sie neu aus: Transparente Kapitalwirkung, faire Kosten, soziale Zugänglichkeit und Resilienz werden zu Qualitätskriterien.</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Rechtsschutz, Datenschutz und Korrekturverfahren</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Wirkungsdaten bereiten Entscheidungen vor, ersetzen sie aber nicht. Das Rentensystem braucht Transparenz, Datensparsamkeit, Einspruchsrechte, menschliche Prüfung und parlamentarische Kontrolle.</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2"/>
      </w:pPr>
      <w:r>
        <w:t>Politische Anschlussfähigkeit und Umsetzungsoptionen</w:t>
      </w:r>
    </w:p>
    <w:p>
      <w:r>
        <w:t>Praktische Fragestellung: Wie lässt sich dieser Unterbereich so gestalten, dass er Wirkung sichtbar macht, ohne Menschen technokratisch zu bewerten?</w:t>
      </w:r>
    </w:p>
    <w:p>
      <w:pPr>
        <w:pStyle w:val="ListBullet"/>
      </w:pPr>
      <w:r>
        <w:t>Datenbedarf: beitragsbezogene Daten, qualitative Nachweise, WÖk-ID-/SDG-Bezug, ggf. Fonds- und Sektorinformationen.</w:t>
      </w:r>
    </w:p>
    <w:p>
      <w:pPr>
        <w:pStyle w:val="ListBullet"/>
      </w:pPr>
      <w:r>
        <w:t>Beispiel: Die Wirkungsrente formuliert einen Rahmen, aber keinen fertigen Parteibeschluss. Parteien können unterschiedliche Wege wählen: stärker umlageorientiert, stärker fondsorientiert, stärker kommunal, stärker marktwirtschaftlich oder stärker sozialstaatlich - solange Wirkung sichtbar, überprüfbar und korrigierbar bleibt.</w:t>
      </w:r>
    </w:p>
    <w:p>
      <w:pPr>
        <w:pStyle w:val="ListBullet"/>
      </w:pPr>
      <w:r>
        <w:t>Berechnungslogik: nur als Arbeitsannahme v0.1, mit Schutzkorridoren und Widerspruchsrechten.</w:t>
      </w:r>
    </w:p>
    <w:p>
      <w:pPr>
        <w:pStyle w:val="ListBullet"/>
      </w:pPr>
      <w:r>
        <w:t>Politische Umsetzung: Pilotierung, Rechtsgrundlage, Evaluation und öffentliche Konsultation.</w:t>
      </w:r>
    </w:p>
    <w:p>
      <w:pPr>
        <w:pStyle w:val="Heading1"/>
      </w:pPr>
      <w:r>
        <w:t>Politische Anschlussfähigkeit und Umsetzungsoptionen</w:t>
      </w:r>
    </w:p>
    <w:p>
      <w:r>
        <w:t>Die folgenden politischen Anforderungen beschreiben keinen fertigen Parteibeschluss. Sie markieren den Rahmen, damit das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Style w:val="TableGrid"/>
        <w:tblW w:type="auto" w:w="0"/>
        <w:jc w:val="center"/>
        <w:tblLook w:firstColumn="1" w:firstRow="1" w:lastColumn="0" w:lastRow="0" w:noHBand="0" w:noVBand="1" w:val="04A0"/>
      </w:tblPr>
      <w:tblGrid>
        <w:gridCol w:w="5100"/>
        <w:gridCol w:w="5100"/>
      </w:tblGrid>
      <w:tr>
        <w:tc>
          <w:tcPr>
            <w:tcW w:type="dxa" w:w="5100"/>
            <w:vAlign w:val="top"/>
            <w:shd w:fill="0B132B"/>
          </w:tcPr>
          <w:p>
            <w:r/>
            <w:r>
              <w:rPr>
                <w:rFonts w:ascii="Arial" w:hAnsi="Arial"/>
                <w:b/>
                <w:color w:val="FFFFFF"/>
                <w:sz w:val="17"/>
              </w:rPr>
              <w:t>Ebene</w:t>
            </w:r>
          </w:p>
        </w:tc>
        <w:tc>
          <w:tcPr>
            <w:tcW w:type="dxa" w:w="5100"/>
            <w:vAlign w:val="top"/>
            <w:shd w:fill="0B132B"/>
          </w:tcPr>
          <w:p>
            <w:r/>
            <w:r>
              <w:rPr>
                <w:rFonts w:ascii="Arial" w:hAnsi="Arial"/>
                <w:b/>
                <w:color w:val="FFFFFF"/>
                <w:sz w:val="17"/>
              </w:rPr>
              <w:t>Aufgabe für Politik und Umsetzung</w:t>
            </w:r>
          </w:p>
        </w:tc>
      </w:tr>
      <w:tr>
        <w:tc>
          <w:tcPr>
            <w:tcW w:type="dxa" w:w="5100"/>
            <w:vAlign w:val="top"/>
            <w:shd w:fill="F6F1E8"/>
          </w:tcPr>
          <w:p>
            <w:r/>
            <w:r>
              <w:rPr>
                <w:rFonts w:ascii="Arial" w:hAnsi="Arial"/>
                <w:b w:val="0"/>
                <w:sz w:val="16"/>
              </w:rPr>
              <w:t>Aufgabe der Politik</w:t>
            </w:r>
          </w:p>
        </w:tc>
        <w:tc>
          <w:tcPr>
            <w:tcW w:type="dxa" w:w="5100"/>
            <w:vAlign w:val="top"/>
          </w:tcPr>
          <w:p>
            <w:r/>
            <w:r>
              <w:rPr>
                <w:rFonts w:ascii="Arial" w:hAnsi="Arial"/>
                <w:b w:val="0"/>
                <w:sz w:val="16"/>
              </w:rPr>
              <w:t>Wirkungsrente und soziale Sicherung braucht einen Rahmen, der Würde im Alter, Teilhabe, Finanzierungsstabilität, Lebenswirkung und demokratische Korrektur verbindet.</w:t>
            </w:r>
          </w:p>
        </w:tc>
      </w:tr>
      <w:tr>
        <w:tc>
          <w:tcPr>
            <w:tcW w:type="dxa" w:w="5100"/>
            <w:vAlign w:val="top"/>
            <w:shd w:fill="F6F1E8"/>
          </w:tcPr>
          <w:p>
            <w:r/>
            <w:r>
              <w:rPr>
                <w:rFonts w:ascii="Arial" w:hAnsi="Arial"/>
                <w:b w:val="0"/>
                <w:sz w:val="16"/>
              </w:rPr>
              <w:t>Politische Rahmenbedingungen</w:t>
            </w:r>
          </w:p>
        </w:tc>
        <w:tc>
          <w:tcPr>
            <w:tcW w:type="dxa" w:w="5100"/>
            <w:vAlign w:val="top"/>
          </w:tcPr>
          <w:p>
            <w:r/>
            <w:r>
              <w:rPr>
                <w:rFonts w:ascii="Arial" w:hAnsi="Arial"/>
                <w:b w:val="0"/>
                <w:sz w:val="16"/>
              </w:rPr>
              <w:t>Rentenrecht, Sozialversicherungsrecht, Steuerrecht, Datenschutz, Fondsaufsicht, WÖk-IDs, Wirkungshaushalt, Wirkungsrat und Verwaltung müssen zusammen gedacht werden.</w:t>
            </w:r>
          </w:p>
        </w:tc>
      </w:tr>
      <w:tr>
        <w:tc>
          <w:tcPr>
            <w:tcW w:type="dxa" w:w="5100"/>
            <w:vAlign w:val="top"/>
            <w:shd w:fill="F6F1E8"/>
          </w:tcPr>
          <w:p>
            <w:r/>
            <w:r>
              <w:rPr>
                <w:rFonts w:ascii="Arial" w:hAnsi="Arial"/>
                <w:b w:val="0"/>
                <w:sz w:val="16"/>
              </w:rPr>
              <w:t>Ausgestaltungsspielraum</w:t>
            </w:r>
          </w:p>
        </w:tc>
        <w:tc>
          <w:tcPr>
            <w:tcW w:type="dxa" w:w="5100"/>
            <w:vAlign w:val="top"/>
          </w:tcPr>
          <w:p>
            <w:r/>
            <w:r>
              <w:rPr>
                <w:rFonts w:ascii="Arial" w:hAnsi="Arial"/>
                <w:b w:val="0"/>
                <w:sz w:val="16"/>
              </w:rPr>
              <w:t>Parteien können unterschiedlich gewichten: Umlage, Fonds, Basisrente, Bonuskorridore, Beitragssätze, Steuerfinanzierung, Pilotierung, öffentliche oder private Träger.</w:t>
            </w:r>
          </w:p>
        </w:tc>
      </w:tr>
      <w:tr>
        <w:tc>
          <w:tcPr>
            <w:tcW w:type="dxa" w:w="5100"/>
            <w:vAlign w:val="top"/>
            <w:shd w:fill="F6F1E8"/>
          </w:tcPr>
          <w:p>
            <w:r/>
            <w:r>
              <w:rPr>
                <w:rFonts w:ascii="Arial" w:hAnsi="Arial"/>
                <w:b w:val="0"/>
                <w:sz w:val="16"/>
              </w:rPr>
              <w:t>Zielkonflikte</w:t>
            </w:r>
          </w:p>
        </w:tc>
        <w:tc>
          <w:tcPr>
            <w:tcW w:type="dxa" w:w="5100"/>
            <w:vAlign w:val="top"/>
          </w:tcPr>
          <w:p>
            <w:r/>
            <w:r>
              <w:rPr>
                <w:rFonts w:ascii="Arial" w:hAnsi="Arial"/>
                <w:b w:val="0"/>
                <w:sz w:val="16"/>
              </w:rPr>
              <w:t>Würde vs. Leistungsprinzip, Datenschutz vs. Nachweis, Einfachheit vs. Präzision, Generationengerechtigkeit vs. erworbene Ansprüche, Innovationsförderung vs. soziale Finanzierung.</w:t>
            </w:r>
          </w:p>
        </w:tc>
      </w:tr>
      <w:tr>
        <w:tc>
          <w:tcPr>
            <w:tcW w:type="dxa" w:w="5100"/>
            <w:vAlign w:val="top"/>
            <w:shd w:fill="F6F1E8"/>
          </w:tcPr>
          <w:p>
            <w:r/>
            <w:r>
              <w:rPr>
                <w:rFonts w:ascii="Arial" w:hAnsi="Arial"/>
                <w:b w:val="0"/>
                <w:sz w:val="16"/>
              </w:rPr>
              <w:t>Rollenverteilung</w:t>
            </w:r>
          </w:p>
        </w:tc>
        <w:tc>
          <w:tcPr>
            <w:tcW w:type="dxa" w:w="5100"/>
            <w:vAlign w:val="top"/>
          </w:tcPr>
          <w:p>
            <w:r/>
            <w:r>
              <w:rPr>
                <w:rFonts w:ascii="Arial" w:hAnsi="Arial"/>
                <w:b w:val="0"/>
                <w:sz w:val="16"/>
              </w:rPr>
              <w:t>EU, Bund, Länder, Kommunen, Rentenversicherung, Unternehmen, Sozialverbände, Wissenschaft, Zivilgesellschaft und Bürger:innen tragen Daten, Standards, Evaluation und Umsetzung gemeinsam.</w:t>
            </w:r>
          </w:p>
        </w:tc>
      </w:tr>
      <w:tr>
        <w:tc>
          <w:tcPr>
            <w:tcW w:type="dxa" w:w="5100"/>
            <w:vAlign w:val="top"/>
            <w:shd w:fill="F6F1E8"/>
          </w:tcPr>
          <w:p>
            <w:r/>
            <w:r>
              <w:rPr>
                <w:rFonts w:ascii="Arial" w:hAnsi="Arial"/>
                <w:b w:val="0"/>
                <w:sz w:val="16"/>
              </w:rPr>
              <w:t>Übergang und Schutz</w:t>
            </w:r>
          </w:p>
        </w:tc>
        <w:tc>
          <w:tcPr>
            <w:tcW w:type="dxa" w:w="5100"/>
            <w:vAlign w:val="top"/>
          </w:tcPr>
          <w:p>
            <w:r/>
            <w:r>
              <w:rPr>
                <w:rFonts w:ascii="Arial" w:hAnsi="Arial"/>
                <w:b w:val="0"/>
                <w:sz w:val="16"/>
              </w:rPr>
              <w:t>Bestandsschutz, Härtefallregeln, freiwillige Pilotphasen, Schutz vor Scoring, Datensparsamkeit, Rechtsschutz und klare Korrekturverfahren sind zwingend.</w:t>
            </w:r>
          </w:p>
        </w:tc>
      </w:tr>
      <w:tr>
        <w:tc>
          <w:tcPr>
            <w:tcW w:type="dxa" w:w="5100"/>
            <w:vAlign w:val="top"/>
            <w:shd w:fill="F6F1E8"/>
          </w:tcPr>
          <w:p>
            <w:r/>
            <w:r>
              <w:rPr>
                <w:rFonts w:ascii="Arial" w:hAnsi="Arial"/>
                <w:b w:val="0"/>
                <w:sz w:val="16"/>
              </w:rPr>
              <w:t>Evaluation und Korrektur</w:t>
            </w:r>
          </w:p>
        </w:tc>
        <w:tc>
          <w:tcPr>
            <w:tcW w:type="dxa" w:w="5100"/>
            <w:vAlign w:val="top"/>
          </w:tcPr>
          <w:p>
            <w:r/>
            <w:r>
              <w:rPr>
                <w:rFonts w:ascii="Arial" w:hAnsi="Arial"/>
                <w:b w:val="0"/>
                <w:sz w:val="16"/>
              </w:rPr>
              <w:t>Wirkungsberichte, Rentenwirkungsmonitoring, Revisionszyklen, unabhängige Assurance und öffentliche Konsultation halten die Methodik lernfähig.</w:t>
            </w:r>
          </w:p>
        </w:tc>
      </w:tr>
      <w:tr>
        <w:tc>
          <w:tcPr>
            <w:tcW w:type="dxa" w:w="5100"/>
            <w:vAlign w:val="top"/>
            <w:shd w:fill="F6F1E8"/>
          </w:tcPr>
          <w:p>
            <w:r/>
            <w:r>
              <w:rPr>
                <w:rFonts w:ascii="Arial" w:hAnsi="Arial"/>
                <w:b w:val="0"/>
                <w:sz w:val="16"/>
              </w:rPr>
              <w:t>Parteipolitische Anschlussfähigkeit</w:t>
            </w:r>
          </w:p>
        </w:tc>
        <w:tc>
          <w:tcPr>
            <w:tcW w:type="dxa" w:w="5100"/>
            <w:vAlign w:val="top"/>
          </w:tcPr>
          <w:p>
            <w:r/>
            <w:r>
              <w:rPr>
                <w:rFonts w:ascii="Arial" w:hAnsi="Arial"/>
                <w:b w:val="0"/>
                <w:sz w:val="16"/>
              </w:rPr>
              <w:t>Konservative, liberale, sozialdemokratische, grüne, linke, kommunale und wirtschaftsnahe Perspektiven können unterschiedliche Umsetzungsoptionen wählen.</w:t>
            </w:r>
          </w:p>
        </w:tc>
      </w:tr>
      <w:tr>
        <w:tc>
          <w:tcPr>
            <w:tcW w:type="dxa" w:w="5100"/>
            <w:vAlign w:val="top"/>
            <w:shd w:fill="F6F1E8"/>
          </w:tcPr>
          <w:p>
            <w:r/>
            <w:r>
              <w:rPr>
                <w:rFonts w:ascii="Arial" w:hAnsi="Arial"/>
                <w:b w:val="0"/>
                <w:sz w:val="16"/>
              </w:rPr>
              <w:t>Schutz vor Technokratie</w:t>
            </w:r>
          </w:p>
        </w:tc>
        <w:tc>
          <w:tcPr>
            <w:tcW w:type="dxa" w:w="5100"/>
            <w:vAlign w:val="top"/>
          </w:tcPr>
          <w:p>
            <w:r/>
            <w:r>
              <w:rPr>
                <w:rFonts w:ascii="Arial" w:hAnsi="Arial"/>
                <w:b w:val="0"/>
                <w:sz w:val="16"/>
              </w:rPr>
              <w:t>Wirkungsdaten bereiten Entscheidungen vor, ersetzen sie aber nicht. Normative Entscheidungen bleiben demokratisch legitimiert.</w:t>
            </w:r>
          </w:p>
        </w:tc>
      </w:tr>
    </w:tbl>
    <w:p/>
    <w:p>
      <w:pPr>
        <w:pStyle w:val="Heading1"/>
      </w:pPr>
      <w:r>
        <w:t>Quellen und Referenzen</w:t>
      </w:r>
    </w:p>
    <w:p>
      <w:r>
        <w:t>Die folgenden Quellen dienen als öffentliche und interne Referenzpunkte. Externe Links sind als Informationsquellen angegeben; die wirkungsökonomische Einordnung erfolgt im Rahmen der Wirkungsökonomie.</w:t>
      </w:r>
    </w:p>
    <w:p>
      <w:pPr>
        <w:pStyle w:val="ListBullet"/>
      </w:pPr>
      <w:r>
        <w:rPr>
          <w:b/>
        </w:rPr>
        <w:t xml:space="preserve">WÖk-Arbeitspapier Rentensystem: </w:t>
      </w:r>
      <w:r>
        <w:t>WP_Rente.pdf, Natalie Weber, 2025</w:t>
      </w:r>
    </w:p>
    <w:p>
      <w:pPr>
        <w:pStyle w:val="ListBullet"/>
      </w:pPr>
      <w:r>
        <w:rPr>
          <w:b/>
        </w:rPr>
        <w:t xml:space="preserve">Wenn Maschinen arbeiten: </w:t>
      </w:r>
      <w:r>
        <w:t>Natalie Weber, 2025</w:t>
      </w:r>
    </w:p>
    <w:p>
      <w:pPr>
        <w:pStyle w:val="ListBullet"/>
      </w:pPr>
      <w:r>
        <w:rPr>
          <w:b/>
        </w:rPr>
        <w:t xml:space="preserve">Die neue Ordnung des Wohlstands: </w:t>
      </w:r>
      <w:r>
        <w:t>Natalie Weber, 2026, Kapitel 56-58 und Exkurs SDGs</w:t>
      </w:r>
    </w:p>
    <w:p>
      <w:pPr>
        <w:pStyle w:val="ListBullet"/>
      </w:pPr>
      <w:r>
        <w:rPr>
          <w:b/>
        </w:rPr>
        <w:t xml:space="preserve">Systemmodell der Wirkungsökonomie: </w:t>
      </w:r>
      <w:r>
        <w:t>Natalie Weber, 2025, Finanzsystem &amp; Kapital / Gesellschaft &amp; Soziales</w:t>
      </w:r>
    </w:p>
    <w:p>
      <w:pPr>
        <w:pStyle w:val="ListBullet"/>
      </w:pPr>
      <w:r>
        <w:rPr>
          <w:b/>
        </w:rPr>
        <w:t xml:space="preserve">Führender Begriffsleitfaden: </w:t>
      </w:r>
      <w:r>
        <w:t>Wirkung ist neutral und relational, SDGs/Agenda2030/SDG+ als Referenzrahmen</w:t>
      </w:r>
    </w:p>
    <w:p>
      <w:pPr>
        <w:pStyle w:val="ListBullet"/>
      </w:pPr>
      <w:r>
        <w:rPr>
          <w:b/>
        </w:rPr>
        <w:t xml:space="preserve">BMAS Rentenversicherungsbericht 2025: </w:t>
      </w:r>
      <w:hyperlink r:id="rId11">
        <w:r>
          <w:rPr>
            <w:color w:val="2B7D5C"/>
            <w:u w:val="single"/>
          </w:rPr>
          <w:t>https://www.bmas.de/DE/Service/Presse/Pressemitteilungen/2025/bundeskabinett-beschliesst-rentenversicherungsbericht-2025.html</w:t>
        </w:r>
      </w:hyperlink>
    </w:p>
    <w:p>
      <w:pPr>
        <w:pStyle w:val="ListBullet"/>
      </w:pPr>
      <w:r>
        <w:rPr>
          <w:b/>
        </w:rPr>
        <w:t xml:space="preserve">Destatis Babyboomer und Erwerbspersonen 2025: </w:t>
      </w:r>
      <w:hyperlink r:id="rId12">
        <w:r>
          <w:rPr>
            <w:color w:val="2B7D5C"/>
            <w:u w:val="single"/>
          </w:rPr>
          <w:t>https://www.destatis.de/DE/Presse/Pressemitteilungen/2025/08/PD25_N048_13.html</w:t>
        </w:r>
      </w:hyperlink>
    </w:p>
    <w:p>
      <w:pPr>
        <w:pStyle w:val="ListBullet"/>
      </w:pPr>
      <w:r>
        <w:rPr>
          <w:b/>
        </w:rPr>
        <w:t xml:space="preserve">Destatis Altenquotient 2025: </w:t>
      </w:r>
      <w:hyperlink r:id="rId13">
        <w:r>
          <w:rPr>
            <w:color w:val="2B7D5C"/>
            <w:u w:val="single"/>
          </w:rPr>
          <w:t>https://www.destatis.de/DE/Themen/Querschnitt/Demografischer-Wandel/Aspekte/demografie-altenquotient.html</w:t>
        </w:r>
      </w:hyperlink>
    </w:p>
    <w:p>
      <w:pPr>
        <w:pStyle w:val="ListBullet"/>
      </w:pPr>
      <w:r>
        <w:rPr>
          <w:b/>
        </w:rPr>
        <w:t xml:space="preserve">Deutsche Rentenversicherung in Zahlen 2025: </w:t>
      </w:r>
      <w:hyperlink r:id="rId14">
        <w:r>
          <w:rPr>
            <w:color w:val="2B7D5C"/>
            <w:u w:val="single"/>
          </w:rPr>
          <w:t>https://www.deutsche-rentenversicherung.de/SharedDocs/Downloads/DE/Statistiken-und-Berichte/statistikpublikationen/rv_in_zahlen.pdf</w:t>
        </w:r>
      </w:hyperlink>
    </w:p>
    <w:p>
      <w:pPr>
        <w:pStyle w:val="ListBullet"/>
      </w:pPr>
      <w:r>
        <w:rPr>
          <w:b/>
        </w:rPr>
        <w:t xml:space="preserve">OECD Pensions at a Glance 2025: Germany: </w:t>
      </w:r>
      <w:hyperlink r:id="rId15">
        <w:r>
          <w:rPr>
            <w:color w:val="2B7D5C"/>
            <w:u w:val="single"/>
          </w:rPr>
          <w:t>https://www.oecd.org/en/publications/pensions-at-a-glance-2025-country-notes_8a53ef12-en/germany_c480c8fa-en.html</w:t>
        </w:r>
      </w:hyperlink>
    </w:p>
    <w:sectPr w:rsidR="00FC693F" w:rsidRPr="0006063C" w:rsidSect="00034616">
      <w:headerReference w:type="default" r:id="rId9"/>
      <w:footerReference w:type="default" r:id="rId10"/>
      <w:pgSz w:w="12240" w:h="15840"/>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777777"/>
        <w:sz w:val="14"/>
      </w:rPr>
      <w:t>Natalie Weber · Wirkungsökonomie · Version v0.1 · Stand 24.05.2026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color w:val="2B7D5C"/>
        <w:sz w:val="16"/>
      </w:rPr>
      <w:t>WIRKUNGSÖKONOMIE · Dossier Rente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Arial" w:hAnsi="Arial"/>
      <w:color w:val="242A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32B"/>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32B"/>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32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color w:val="0B132B"/>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bmas.de/DE/Service/Presse/Pressemitteilungen/2025/bundeskabinett-beschliesst-rentenversicherungsbericht-2025.html" TargetMode="External"/><Relationship Id="rId12" Type="http://schemas.openxmlformats.org/officeDocument/2006/relationships/hyperlink" Target="https://www.destatis.de/DE/Presse/Pressemitteilungen/2025/08/PD25_N048_13.html" TargetMode="External"/><Relationship Id="rId13" Type="http://schemas.openxmlformats.org/officeDocument/2006/relationships/hyperlink" Target="https://www.destatis.de/DE/Themen/Querschnitt/Demografischer-Wandel/Aspekte/demografie-altenquotient.html" TargetMode="External"/><Relationship Id="rId14" Type="http://schemas.openxmlformats.org/officeDocument/2006/relationships/hyperlink" Target="https://www.deutsche-rentenversicherung.de/SharedDocs/Downloads/DE/Statistiken-und-Berichte/statistikpublikationen/rv_in_zahlen.pdf" TargetMode="External"/><Relationship Id="rId15" Type="http://schemas.openxmlformats.org/officeDocument/2006/relationships/hyperlink" Target="https://www.oecd.org/en/publications/pensions-at-a-glance-2025-country-notes_8a53ef12-en/germany_c480c8fa-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