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rFonts w:ascii="Georgia" w:hAnsi="Georgia"/>
          <w:b/>
          <w:color w:val="0B132B"/>
          <w:sz w:val="36"/>
        </w:rPr>
        <w:t>WIRKUNGSÖKONOMIE</w:t>
      </w:r>
    </w:p>
    <w:p>
      <w:r>
        <w:rPr>
          <w:rFonts w:ascii="Arial" w:hAnsi="Arial"/>
          <w:b/>
          <w:color w:val="C89B3C"/>
          <w:sz w:val="20"/>
        </w:rPr>
        <w:t>Für Mensch, Planet und Demokratie.</w:t>
      </w:r>
    </w:p>
    <w:p/>
    <w:p>
      <w:pPr>
        <w:pStyle w:val="Title"/>
      </w:pPr>
      <w:r>
        <w:t>Rente &amp; soziale Sicherung</w:t>
      </w:r>
    </w:p>
    <w:p>
      <w:r>
        <w:rPr>
          <w:rFonts w:ascii="Georgia" w:hAnsi="Georgia"/>
          <w:color w:val="2B7D5C"/>
          <w:sz w:val="30"/>
        </w:rPr>
        <w:t>Wirkungsrente, Lebenswirkung und soziale Stabilität in der Wirkungsökonomie</w:t>
      </w:r>
    </w:p>
    <w:p>
      <w:r>
        <w:rPr>
          <w:rFonts w:ascii="Arial" w:hAnsi="Arial"/>
          <w:b/>
          <w:color w:val="C89B3C"/>
          <w:sz w:val="22"/>
        </w:rPr>
        <w:t>Konzeptpapier</w:t>
      </w:r>
    </w:p>
    <w:p/>
    <w:tbl>
      <w:tblPr>
        <w:tblW w:type="auto" w:w="0"/>
        <w:jc w:val="left"/>
        <w:tblLayout w:type="autofit"/>
        <w:tblLook w:firstColumn="1" w:firstRow="1" w:lastColumn="0" w:lastRow="0" w:noHBand="0" w:noVBand="1" w:val="04A0"/>
      </w:tblPr>
      <w:tblGrid>
        <w:gridCol w:w="5100"/>
        <w:gridCol w:w="5100"/>
      </w:tblGrid>
      <w:tr>
        <w:tc>
          <w:tcPr>
            <w:tcW w:type="dxa" w:w="5100"/>
            <w:vAlign w:val="top"/>
            <w:shd w:fill="F6F1E8"/>
          </w:tcPr>
          <w:p>
            <w:r/>
            <w:r>
              <w:rPr>
                <w:rFonts w:ascii="Arial" w:hAnsi="Arial"/>
                <w:b/>
                <w:color w:val="0B132B"/>
                <w:sz w:val="17"/>
              </w:rPr>
              <w:t>Autorin</w:t>
            </w:r>
          </w:p>
        </w:tc>
        <w:tc>
          <w:tcPr>
            <w:tcW w:type="dxa" w:w="5100"/>
            <w:vAlign w:val="top"/>
          </w:tcPr>
          <w:p>
            <w:r/>
            <w:r>
              <w:rPr>
                <w:rFonts w:ascii="Arial" w:hAnsi="Arial"/>
                <w:b w:val="0"/>
                <w:sz w:val="17"/>
              </w:rPr>
              <w:t>Natalie Weber</w:t>
            </w:r>
          </w:p>
        </w:tc>
      </w:tr>
      <w:tr>
        <w:tc>
          <w:tcPr>
            <w:tcW w:type="dxa" w:w="5100"/>
            <w:vAlign w:val="top"/>
            <w:shd w:fill="F6F1E8"/>
          </w:tcPr>
          <w:p>
            <w:r/>
            <w:r>
              <w:rPr>
                <w:rFonts w:ascii="Arial" w:hAnsi="Arial"/>
                <w:b/>
                <w:color w:val="0B132B"/>
                <w:sz w:val="17"/>
              </w:rPr>
              <w:t>Referenz</w:t>
            </w:r>
          </w:p>
        </w:tc>
        <w:tc>
          <w:tcPr>
            <w:tcW w:type="dxa" w:w="5100"/>
            <w:vAlign w:val="top"/>
          </w:tcPr>
          <w:p>
            <w:r/>
            <w:r>
              <w:rPr>
                <w:rFonts w:ascii="Arial" w:hAnsi="Arial"/>
                <w:b w:val="0"/>
                <w:sz w:val="17"/>
              </w:rPr>
              <w:t>Wirkungsökonomie</w:t>
            </w:r>
          </w:p>
        </w:tc>
      </w:tr>
      <w:tr>
        <w:tc>
          <w:tcPr>
            <w:tcW w:type="dxa" w:w="5100"/>
            <w:vAlign w:val="top"/>
            <w:shd w:fill="F6F1E8"/>
          </w:tcPr>
          <w:p>
            <w:r/>
            <w:r>
              <w:rPr>
                <w:rFonts w:ascii="Arial" w:hAnsi="Arial"/>
                <w:b/>
                <w:color w:val="0B132B"/>
                <w:sz w:val="17"/>
              </w:rPr>
              <w:t>Version</w:t>
            </w:r>
          </w:p>
        </w:tc>
        <w:tc>
          <w:tcPr>
            <w:tcW w:type="dxa" w:w="5100"/>
            <w:vAlign w:val="top"/>
          </w:tcPr>
          <w:p>
            <w:r/>
            <w:r>
              <w:rPr>
                <w:rFonts w:ascii="Arial" w:hAnsi="Arial"/>
                <w:b w:val="0"/>
                <w:sz w:val="17"/>
              </w:rPr>
              <w:t>v0.1</w:t>
            </w:r>
          </w:p>
        </w:tc>
      </w:tr>
      <w:tr>
        <w:tc>
          <w:tcPr>
            <w:tcW w:type="dxa" w:w="5100"/>
            <w:vAlign w:val="top"/>
            <w:shd w:fill="F6F1E8"/>
          </w:tcPr>
          <w:p>
            <w:r/>
            <w:r>
              <w:rPr>
                <w:rFonts w:ascii="Arial" w:hAnsi="Arial"/>
                <w:b/>
                <w:color w:val="0B132B"/>
                <w:sz w:val="17"/>
              </w:rPr>
              <w:t>Status</w:t>
            </w:r>
          </w:p>
        </w:tc>
        <w:tc>
          <w:tcPr>
            <w:tcW w:type="dxa" w:w="5100"/>
            <w:vAlign w:val="top"/>
          </w:tcPr>
          <w:p>
            <w:r/>
            <w:r>
              <w:rPr>
                <w:rFonts w:ascii="Arial" w:hAnsi="Arial"/>
                <w:b w:val="0"/>
                <w:sz w:val="17"/>
              </w:rPr>
              <w:t>Diskussionsfassung</w:t>
            </w:r>
          </w:p>
        </w:tc>
      </w:tr>
      <w:tr>
        <w:tc>
          <w:tcPr>
            <w:tcW w:type="dxa" w:w="5100"/>
            <w:vAlign w:val="top"/>
            <w:shd w:fill="F6F1E8"/>
          </w:tcPr>
          <w:p>
            <w:r/>
            <w:r>
              <w:rPr>
                <w:rFonts w:ascii="Arial" w:hAnsi="Arial"/>
                <w:b/>
                <w:color w:val="0B132B"/>
                <w:sz w:val="17"/>
              </w:rPr>
              <w:t>Stand</w:t>
            </w:r>
          </w:p>
        </w:tc>
        <w:tc>
          <w:tcPr>
            <w:tcW w:type="dxa" w:w="5100"/>
            <w:vAlign w:val="top"/>
          </w:tcPr>
          <w:p>
            <w:r/>
            <w:r>
              <w:rPr>
                <w:rFonts w:ascii="Arial" w:hAnsi="Arial"/>
                <w:b w:val="0"/>
                <w:sz w:val="17"/>
              </w:rPr>
              <w:t>24. Mai 2026</w:t>
            </w:r>
          </w:p>
        </w:tc>
      </w:tr>
      <w:tr>
        <w:tc>
          <w:tcPr>
            <w:tcW w:type="dxa" w:w="5100"/>
            <w:vAlign w:val="top"/>
            <w:shd w:fill="F6F1E8"/>
          </w:tcPr>
          <w:p>
            <w:r/>
            <w:r>
              <w:rPr>
                <w:rFonts w:ascii="Arial" w:hAnsi="Arial"/>
                <w:b/>
                <w:color w:val="0B132B"/>
                <w:sz w:val="17"/>
              </w:rPr>
              <w:t>Öffentlichkeit</w:t>
            </w:r>
          </w:p>
        </w:tc>
        <w:tc>
          <w:tcPr>
            <w:tcW w:type="dxa" w:w="5100"/>
            <w:vAlign w:val="top"/>
          </w:tcPr>
          <w:p>
            <w:r/>
            <w:r>
              <w:rPr>
                <w:rFonts w:ascii="Arial" w:hAnsi="Arial"/>
                <w:b w:val="0"/>
                <w:sz w:val="17"/>
              </w:rPr>
              <w:t>Online lesbar und als Download verfügbar</w:t>
            </w:r>
          </w:p>
        </w:tc>
      </w:tr>
    </w:tbl>
    <w:p/>
    <w:p>
      <w:r>
        <w:rPr>
          <w:i/>
          <w:color w:val="6B6F73"/>
          <w:sz w:val="18"/>
        </w:rPr>
        <w:t>Leitformel: Wirkung ist neutral und relational. Bewertet wird sie am Referenzrahmen der SDGs, der Agenda 2030 und SDG+. Ziel ist positive Netto-Wirkung für Mensch, Planet und Demokratie.</w:t>
      </w:r>
    </w:p>
    <w:p>
      <w:r>
        <w:br w:type="page"/>
      </w:r>
    </w:p>
    <w:p>
      <w:pPr>
        <w:pStyle w:val="Heading1"/>
      </w:pPr>
      <w:r>
        <w:t>Inhaltslogik</w:t>
      </w:r>
    </w:p>
    <w:p>
      <w:r>
        <w:t>Dieses Dokument ist als öffentliche Arbeits- und Diskussionsfassung angelegt. Es enthält ausschließlich fachliche Publikationsinhalte. Die Kapitel sind so strukturiert, dass sie als Online-Volltext mit Ankern, Dossier-Download, Druckfunktion, SDG-/SDG+-Bezug und Buchankern veröffentlicht werden können.</w:t>
      </w:r>
    </w:p>
    <w:p>
      <w:pPr>
        <w:pStyle w:val="Heading1"/>
      </w:pPr>
      <w:r>
        <w:t>Executive Summary</w:t>
      </w:r>
    </w:p>
    <w:p>
      <w:r>
        <w:t>Das Rentensystem ist nicht nur eine Finanzierungsfrage, sondern eine Vertrauensfrage. Die klassische Alterssicherung bewertet Einkommen, Beitragsjahre und Erwerbsbiografien. Sie sieht aber Lebenswirkung nur unvollständig: Care, Pflege, Bildung, Ehrenamt, Prävention, Demokratiearbeit, ökologische Regeneration und Transformationsleistung erscheinen häufig als Lücken, obwohl sie gesellschaftliche Stabilität tragen.</w:t>
      </w:r>
    </w:p>
    <w:p>
      <w:r>
        <w:t>Die Wirkungsrente ergänzt die bestehende Rentenlogik um einen neuen Maßstab: Wirkung. Sie ersetzt nicht über Nacht erworbene Ansprüche, sondern baut eine lernende Architektur auf, die Würde im Alter, Lebensleistung, Finanzierungsstabilität und Zukunftsfähigkeit verbindet. Sie ist keine reine Sozialleistung und kein Kapitalmarktprodukt, sondern ein generationenübergreifender Wirkungskreislauf.</w:t>
      </w:r>
    </w:p>
    <w:p>
      <w:pPr>
        <w:pStyle w:val="ListBullet"/>
      </w:pPr>
      <w:r>
        <w:t>Basisrente als Würde- und Teilhabeschutz.</w:t>
      </w:r>
    </w:p>
    <w:p>
      <w:pPr>
        <w:pStyle w:val="ListBullet"/>
      </w:pPr>
      <w:r>
        <w:t>Lebenswirkungs-Konto als transparenter Nachweisraum, nicht als Personenbewertung.</w:t>
      </w:r>
    </w:p>
    <w:p>
      <w:pPr>
        <w:pStyle w:val="ListBullet"/>
      </w:pPr>
      <w:r>
        <w:t>Lebenswirkungs-Faktor als begrenzte Korrekturlogik für anerkannte Wirkleistung.</w:t>
      </w:r>
    </w:p>
    <w:p>
      <w:pPr>
        <w:pStyle w:val="ListBullet"/>
      </w:pPr>
      <w:r>
        <w:t>Renten-Impact-Fonds als Kapitalinstrument für positive Netto-Wirkung.</w:t>
      </w:r>
    </w:p>
    <w:p>
      <w:pPr>
        <w:pStyle w:val="ListBullet"/>
      </w:pPr>
      <w:r>
        <w:t>Sozialabgaben-Entkopplung von menschlicher Arbeitsleistung, damit Automatisierung soziale Sicherung nicht erodiert.</w:t>
      </w:r>
    </w:p>
    <w:p>
      <w:pPr>
        <w:pStyle w:val="ListBullet"/>
      </w:pPr>
      <w:r>
        <w:t>Wirkungsdividende als systemischer Anspruch aus gesellschaftlich rückgekoppelter Produktivität.</w:t>
      </w:r>
    </w:p>
    <w:p>
      <w:pPr>
        <w:pStyle w:val="Heading1"/>
      </w:pPr>
      <w:r>
        <w:t>1. Ausgangslage: Warum die Rentenfrage zur Wirkungsfrage wird</w:t>
      </w:r>
    </w:p>
    <w:p>
      <w:r>
        <w:t>Die Rentenfrage wird häufig als Dreieck aus Demografie, Beitragssatz und Rentenniveau erzählt. Diese Sicht ist wichtig, aber zu eng. Die tiefere Frage lautet: Welche Formen gesellschaftlicher Leistung werden sichtbar, anerkannt und in Sicherheit übersetzt? Ein System, das Beiträge präzise berechnet, aber Wirkung nur indirekt erkennt, bleibt blind für Tätigkeiten, die gesellschaftliche Folgekosten senken und Vertrauen stiften.</w:t>
      </w:r>
    </w:p>
    <w:p>
      <w:r>
        <w:t>Deutschland steht vor einer doppelten Verschiebung. Erstens verändert die Alterung das Verhältnis zwischen Menschen im Erwerbsalter und Menschen im Ruhestand. Zweitens verändert Automatisierung die Rolle menschlicher Erwerbsarbeit als Finanzierungsbasis. Die Wirkungsrente adressiert beide Entwicklungen nicht durch Generationenkampf, sondern durch Maßstabwechsel: von reiner Beitragsbiografie zu Lebenswirkung.</w:t>
      </w:r>
    </w:p>
    <w:p>
      <w:pPr>
        <w:pStyle w:val="Heading2"/>
      </w:pPr>
      <w:r>
        <w:t>1.1 Der demografische Druck</w:t>
      </w:r>
    </w:p>
    <w:p>
      <w:r>
        <w:t>Der demografische Wandel bleibt real. Er darf aber nicht nur als Belastung der Jungen durch die Alten erzählt werden. Ältere Menschen sind nicht bloße Kostenstellen, sondern können Wissen, Engagement, Pflege, Demokratiearbeit, Nachbarschaft und Stabilität leisten. Die Frage ist daher nicht nur, wie Alter finanziert wird, sondern wie Alter als Wirkungsphase verstanden wird.</w:t>
      </w:r>
    </w:p>
    <w:p>
      <w:pPr>
        <w:pStyle w:val="Heading2"/>
      </w:pPr>
      <w:r>
        <w:t>1.2 Die Automatisierungsfrage</w:t>
      </w:r>
    </w:p>
    <w:p>
      <w:r>
        <w:t>Wenn Maschinen, KI und Plattformen mehr produktive Aufgaben übernehmen, kann Produktivität steigen, während Löhne, Beiträge und Erwerbszeiten unter Druck geraten. Eine Rentenlogik, die soziale Sicherheit vor allem an menschliche Lohnarbeit bindet, wird dadurch strukturell riskant. Die Wirkungsökonomie entkoppelt Finanzierung schrittweise von menschlicher Arbeitsleistung und koppelt Produktivitätsgewinne an gesellschaftliche Stabilität zurück.</w:t>
      </w:r>
    </w:p>
    <w:p>
      <w:pPr>
        <w:pStyle w:val="Heading1"/>
      </w:pPr>
      <w:r>
        <w:t>2. Die alte Logik und ihre Wirkungslücken</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shd w:fill="0B132B"/>
          </w:tcPr>
          <w:p>
            <w:r/>
            <w:r>
              <w:rPr>
                <w:rFonts w:ascii="Arial" w:hAnsi="Arial"/>
                <w:b/>
                <w:color w:val="FFFFFF"/>
                <w:sz w:val="17"/>
              </w:rPr>
              <w:t>Alte Logik</w:t>
            </w:r>
          </w:p>
        </w:tc>
        <w:tc>
          <w:tcPr>
            <w:tcW w:type="dxa" w:w="3400"/>
            <w:vAlign w:val="top"/>
            <w:shd w:fill="0B132B"/>
          </w:tcPr>
          <w:p>
            <w:r/>
            <w:r>
              <w:rPr>
                <w:rFonts w:ascii="Arial" w:hAnsi="Arial"/>
                <w:b/>
                <w:color w:val="FFFFFF"/>
                <w:sz w:val="17"/>
              </w:rPr>
              <w:t>Wirkungslücke</w:t>
            </w:r>
          </w:p>
        </w:tc>
        <w:tc>
          <w:tcPr>
            <w:tcW w:type="dxa" w:w="3400"/>
            <w:vAlign w:val="top"/>
            <w:shd w:fill="0B132B"/>
          </w:tcPr>
          <w:p>
            <w:r/>
            <w:r>
              <w:rPr>
                <w:rFonts w:ascii="Arial" w:hAnsi="Arial"/>
                <w:b/>
                <w:color w:val="FFFFFF"/>
                <w:sz w:val="17"/>
              </w:rPr>
              <w:t>Wirkungsökonomische Korrektur</w:t>
            </w:r>
          </w:p>
        </w:tc>
      </w:tr>
      <w:tr>
        <w:tc>
          <w:tcPr>
            <w:tcW w:type="dxa" w:w="3400"/>
            <w:vAlign w:val="top"/>
            <w:shd w:fill="F6F1E8"/>
          </w:tcPr>
          <w:p>
            <w:r/>
            <w:r>
              <w:rPr>
                <w:rFonts w:ascii="Arial" w:hAnsi="Arial"/>
                <w:b w:val="0"/>
                <w:sz w:val="16"/>
              </w:rPr>
              <w:t>Beitragsjahre</w:t>
            </w:r>
          </w:p>
        </w:tc>
        <w:tc>
          <w:tcPr>
            <w:tcW w:type="dxa" w:w="3400"/>
            <w:vAlign w:val="top"/>
          </w:tcPr>
          <w:p>
            <w:r/>
            <w:r>
              <w:rPr>
                <w:rFonts w:ascii="Arial" w:hAnsi="Arial"/>
                <w:b w:val="0"/>
                <w:sz w:val="16"/>
              </w:rPr>
              <w:t>Nicht jede gesellschaftliche Leistung wird als Beitrag sichtbar.</w:t>
            </w:r>
          </w:p>
        </w:tc>
        <w:tc>
          <w:tcPr>
            <w:tcW w:type="dxa" w:w="3400"/>
            <w:vAlign w:val="top"/>
          </w:tcPr>
          <w:p>
            <w:r/>
            <w:r>
              <w:rPr>
                <w:rFonts w:ascii="Arial" w:hAnsi="Arial"/>
                <w:b w:val="0"/>
                <w:sz w:val="16"/>
              </w:rPr>
              <w:t>Lebenswirkung ergänzend dokumentieren.</w:t>
            </w:r>
          </w:p>
        </w:tc>
      </w:tr>
      <w:tr>
        <w:tc>
          <w:tcPr>
            <w:tcW w:type="dxa" w:w="3400"/>
            <w:vAlign w:val="top"/>
            <w:shd w:fill="F6F1E8"/>
          </w:tcPr>
          <w:p>
            <w:r/>
            <w:r>
              <w:rPr>
                <w:rFonts w:ascii="Arial" w:hAnsi="Arial"/>
                <w:b w:val="0"/>
                <w:sz w:val="16"/>
              </w:rPr>
              <w:t>Markteinkommen</w:t>
            </w:r>
          </w:p>
        </w:tc>
        <w:tc>
          <w:tcPr>
            <w:tcW w:type="dxa" w:w="3400"/>
            <w:vAlign w:val="top"/>
          </w:tcPr>
          <w:p>
            <w:r/>
            <w:r>
              <w:rPr>
                <w:rFonts w:ascii="Arial" w:hAnsi="Arial"/>
                <w:b w:val="0"/>
                <w:sz w:val="16"/>
              </w:rPr>
              <w:t>Hohe Einkommen können negative Wirkung erzeugen, niedrige Einkommen hohe positive Wirkung.</w:t>
            </w:r>
          </w:p>
        </w:tc>
        <w:tc>
          <w:tcPr>
            <w:tcW w:type="dxa" w:w="3400"/>
            <w:vAlign w:val="top"/>
          </w:tcPr>
          <w:p>
            <w:r/>
            <w:r>
              <w:rPr>
                <w:rFonts w:ascii="Arial" w:hAnsi="Arial"/>
                <w:b w:val="0"/>
                <w:sz w:val="16"/>
              </w:rPr>
              <w:t>Einkommen und Wirkung unterscheiden.</w:t>
            </w:r>
          </w:p>
        </w:tc>
      </w:tr>
      <w:tr>
        <w:tc>
          <w:tcPr>
            <w:tcW w:type="dxa" w:w="3400"/>
            <w:vAlign w:val="top"/>
            <w:shd w:fill="F6F1E8"/>
          </w:tcPr>
          <w:p>
            <w:r/>
            <w:r>
              <w:rPr>
                <w:rFonts w:ascii="Arial" w:hAnsi="Arial"/>
                <w:b w:val="0"/>
                <w:sz w:val="16"/>
              </w:rPr>
              <w:t>Kapitaldeckung</w:t>
            </w:r>
          </w:p>
        </w:tc>
        <w:tc>
          <w:tcPr>
            <w:tcW w:type="dxa" w:w="3400"/>
            <w:vAlign w:val="top"/>
          </w:tcPr>
          <w:p>
            <w:r/>
            <w:r>
              <w:rPr>
                <w:rFonts w:ascii="Arial" w:hAnsi="Arial"/>
                <w:b w:val="0"/>
                <w:sz w:val="16"/>
              </w:rPr>
              <w:t>Kapital kann in Sektoren fließen, die künftige Risiken erhöhen.</w:t>
            </w:r>
          </w:p>
        </w:tc>
        <w:tc>
          <w:tcPr>
            <w:tcW w:type="dxa" w:w="3400"/>
            <w:vAlign w:val="top"/>
          </w:tcPr>
          <w:p>
            <w:r/>
            <w:r>
              <w:rPr>
                <w:rFonts w:ascii="Arial" w:hAnsi="Arial"/>
                <w:b w:val="0"/>
                <w:sz w:val="16"/>
              </w:rPr>
              <w:t>Kapitalwirkung und Ausschlusskriterien definieren.</w:t>
            </w:r>
          </w:p>
        </w:tc>
      </w:tr>
      <w:tr>
        <w:tc>
          <w:tcPr>
            <w:tcW w:type="dxa" w:w="3400"/>
            <w:vAlign w:val="top"/>
            <w:shd w:fill="F6F1E8"/>
          </w:tcPr>
          <w:p>
            <w:r/>
            <w:r>
              <w:rPr>
                <w:rFonts w:ascii="Arial" w:hAnsi="Arial"/>
                <w:b w:val="0"/>
                <w:sz w:val="16"/>
              </w:rPr>
              <w:t>Rente als Ruhestand</w:t>
            </w:r>
          </w:p>
        </w:tc>
        <w:tc>
          <w:tcPr>
            <w:tcW w:type="dxa" w:w="3400"/>
            <w:vAlign w:val="top"/>
          </w:tcPr>
          <w:p>
            <w:r/>
            <w:r>
              <w:rPr>
                <w:rFonts w:ascii="Arial" w:hAnsi="Arial"/>
                <w:b w:val="0"/>
                <w:sz w:val="16"/>
              </w:rPr>
              <w:t>Alter wird als Ende von Wirkung gelesen.</w:t>
            </w:r>
          </w:p>
        </w:tc>
        <w:tc>
          <w:tcPr>
            <w:tcW w:type="dxa" w:w="3400"/>
            <w:vAlign w:val="top"/>
          </w:tcPr>
          <w:p>
            <w:r/>
            <w:r>
              <w:rPr>
                <w:rFonts w:ascii="Arial" w:hAnsi="Arial"/>
                <w:b w:val="0"/>
                <w:sz w:val="16"/>
              </w:rPr>
              <w:t>Alter als Wirkungsphase und Wissenstransfer verstehen.</w:t>
            </w:r>
          </w:p>
        </w:tc>
      </w:tr>
      <w:tr>
        <w:tc>
          <w:tcPr>
            <w:tcW w:type="dxa" w:w="3400"/>
            <w:vAlign w:val="top"/>
            <w:shd w:fill="F6F1E8"/>
          </w:tcPr>
          <w:p>
            <w:r/>
            <w:r>
              <w:rPr>
                <w:rFonts w:ascii="Arial" w:hAnsi="Arial"/>
                <w:b w:val="0"/>
                <w:sz w:val="16"/>
              </w:rPr>
              <w:t>Sozialabgaben auf Lohn</w:t>
            </w:r>
          </w:p>
        </w:tc>
        <w:tc>
          <w:tcPr>
            <w:tcW w:type="dxa" w:w="3400"/>
            <w:vAlign w:val="top"/>
          </w:tcPr>
          <w:p>
            <w:r/>
            <w:r>
              <w:rPr>
                <w:rFonts w:ascii="Arial" w:hAnsi="Arial"/>
                <w:b w:val="0"/>
                <w:sz w:val="16"/>
              </w:rPr>
              <w:t>Automatisierung entzieht dem System Beitragsbasis.</w:t>
            </w:r>
          </w:p>
        </w:tc>
        <w:tc>
          <w:tcPr>
            <w:tcW w:type="dxa" w:w="3400"/>
            <w:vAlign w:val="top"/>
          </w:tcPr>
          <w:p>
            <w:r/>
            <w:r>
              <w:rPr>
                <w:rFonts w:ascii="Arial" w:hAnsi="Arial"/>
                <w:b w:val="0"/>
                <w:sz w:val="16"/>
              </w:rPr>
              <w:t>Wertschöpfung und Wirkung breiter rückkoppeln.</w:t>
            </w:r>
          </w:p>
        </w:tc>
      </w:tr>
    </w:tbl>
    <w:p/>
    <w:p>
      <w:pPr>
        <w:pStyle w:val="Heading1"/>
      </w:pPr>
      <w:r>
        <w:t>3. Wirkungsrente: Definition und Systemarchitektur</w:t>
      </w:r>
    </w:p>
    <w:p>
      <w:r>
        <w:t>Die Wirkungsrente ist ein lernendes Alterssicherungssystem, das erworbene Ansprüche schützt und zugleich Lebenswirkung sichtbar macht. Sie verbindet eine Würdeebene, eine klassische Übergangsebene, eine Wirkungsbonus- oder Wirkungsdividendenebene und eine Fonds-/Kapitalwirkungsebene.</w:t>
      </w:r>
    </w:p>
    <w:p>
      <w:pPr>
        <w:pStyle w:val="ListNumber"/>
      </w:pPr>
      <w:r>
        <w:t>Würdeebene: Niemand fällt unter eine definierte Teilhabegrenze.</w:t>
      </w:r>
    </w:p>
    <w:p>
      <w:pPr>
        <w:pStyle w:val="ListNumber"/>
      </w:pPr>
      <w:r>
        <w:t>Anwartschaftsebene: Bestehende Beitrags- und Versicherungsansprüche bleiben geschützt.</w:t>
      </w:r>
    </w:p>
    <w:p>
      <w:pPr>
        <w:pStyle w:val="ListNumber"/>
      </w:pPr>
      <w:r>
        <w:t>Wirkungsebene: Anerkannte Wirkleistung wird transparent und begrenzt rentenwirksam.</w:t>
      </w:r>
    </w:p>
    <w:p>
      <w:pPr>
        <w:pStyle w:val="ListNumber"/>
      </w:pPr>
      <w:r>
        <w:t>Fonds- und Dividendenebene: Kapitalerträge und Produktivitätsgewinne werden nach Wirkung rückgekoppelt.</w:t>
      </w:r>
    </w:p>
    <w:p>
      <w:pPr>
        <w:pStyle w:val="ListNumber"/>
      </w:pPr>
      <w:r>
        <w:t>Korrekturebene: Methodik, Daten, Nachweise und politische Entscheidungen werden regelmäßig überprüft.</w:t>
      </w:r>
    </w:p>
    <w:p>
      <w:pPr>
        <w:pStyle w:val="Heading2"/>
      </w:pPr>
      <w:r>
        <w:t>3.1 Arbeitsmodell v0.1 der Berechnung</w:t>
      </w:r>
    </w:p>
    <w:p>
      <w:r>
        <w:t>Das folgende Modell ist keine fertige gesetzliche Formel, sondern eine Arbeitsmatrix für Website, Dossier und Rechner. Es dient der Verständlichkeit und politischen Diskussion.</w:t>
      </w:r>
    </w:p>
    <w:tbl>
      <w:tblPr>
        <w:tblStyle w:val="TableGrid"/>
        <w:tblW w:type="auto" w:w="0"/>
        <w:jc w:val="center"/>
        <w:tblLook w:firstColumn="1" w:firstRow="1" w:lastColumn="0" w:lastRow="0" w:noHBand="0" w:noVBand="1" w:val="04A0"/>
      </w:tblPr>
      <w:tblGrid>
        <w:gridCol w:w="3400"/>
        <w:gridCol w:w="3400"/>
        <w:gridCol w:w="3400"/>
      </w:tblGrid>
      <w:tr>
        <w:tc>
          <w:tcPr>
            <w:tcW w:type="dxa" w:w="3400"/>
            <w:vAlign w:val="top"/>
            <w:shd w:fill="0B132B"/>
          </w:tcPr>
          <w:p>
            <w:r/>
            <w:r>
              <w:rPr>
                <w:rFonts w:ascii="Arial" w:hAnsi="Arial"/>
                <w:b/>
                <w:color w:val="FFFFFF"/>
                <w:sz w:val="17"/>
              </w:rPr>
              <w:t>Baustein</w:t>
            </w:r>
          </w:p>
        </w:tc>
        <w:tc>
          <w:tcPr>
            <w:tcW w:type="dxa" w:w="3400"/>
            <w:vAlign w:val="top"/>
            <w:shd w:fill="0B132B"/>
          </w:tcPr>
          <w:p>
            <w:r/>
            <w:r>
              <w:rPr>
                <w:rFonts w:ascii="Arial" w:hAnsi="Arial"/>
                <w:b/>
                <w:color w:val="FFFFFF"/>
                <w:sz w:val="17"/>
              </w:rPr>
              <w:t>Funktion</w:t>
            </w:r>
          </w:p>
        </w:tc>
        <w:tc>
          <w:tcPr>
            <w:tcW w:type="dxa" w:w="3400"/>
            <w:vAlign w:val="top"/>
            <w:shd w:fill="0B132B"/>
          </w:tcPr>
          <w:p>
            <w:r/>
            <w:r>
              <w:rPr>
                <w:rFonts w:ascii="Arial" w:hAnsi="Arial"/>
                <w:b/>
                <w:color w:val="FFFFFF"/>
                <w:sz w:val="17"/>
              </w:rPr>
              <w:t>Beispielhafte Arbeitsannahme</w:t>
            </w:r>
          </w:p>
        </w:tc>
      </w:tr>
      <w:tr>
        <w:tc>
          <w:tcPr>
            <w:tcW w:type="dxa" w:w="3400"/>
            <w:vAlign w:val="top"/>
            <w:shd w:fill="F6F1E8"/>
          </w:tcPr>
          <w:p>
            <w:r/>
            <w:r>
              <w:rPr>
                <w:rFonts w:ascii="Arial" w:hAnsi="Arial"/>
                <w:b w:val="0"/>
                <w:sz w:val="16"/>
              </w:rPr>
              <w:t>Basisrente</w:t>
            </w:r>
          </w:p>
        </w:tc>
        <w:tc>
          <w:tcPr>
            <w:tcW w:type="dxa" w:w="3400"/>
            <w:vAlign w:val="top"/>
          </w:tcPr>
          <w:p>
            <w:r/>
            <w:r>
              <w:rPr>
                <w:rFonts w:ascii="Arial" w:hAnsi="Arial"/>
                <w:b w:val="0"/>
                <w:sz w:val="16"/>
              </w:rPr>
              <w:t>Würde- und Teilhabeschutz</w:t>
            </w:r>
          </w:p>
        </w:tc>
        <w:tc>
          <w:tcPr>
            <w:tcW w:type="dxa" w:w="3400"/>
            <w:vAlign w:val="top"/>
          </w:tcPr>
          <w:p>
            <w:r/>
            <w:r>
              <w:rPr>
                <w:rFonts w:ascii="Arial" w:hAnsi="Arial"/>
                <w:b w:val="0"/>
                <w:sz w:val="16"/>
              </w:rPr>
              <w:t>z. B. 1.200 Euro als Modellwert</w:t>
            </w:r>
          </w:p>
        </w:tc>
      </w:tr>
      <w:tr>
        <w:tc>
          <w:tcPr>
            <w:tcW w:type="dxa" w:w="3400"/>
            <w:vAlign w:val="top"/>
            <w:shd w:fill="F6F1E8"/>
          </w:tcPr>
          <w:p>
            <w:r/>
            <w:r>
              <w:rPr>
                <w:rFonts w:ascii="Arial" w:hAnsi="Arial"/>
                <w:b w:val="0"/>
                <w:sz w:val="16"/>
              </w:rPr>
              <w:t>Erwerbs-/Anwartschaftsanteil</w:t>
            </w:r>
          </w:p>
        </w:tc>
        <w:tc>
          <w:tcPr>
            <w:tcW w:type="dxa" w:w="3400"/>
            <w:vAlign w:val="top"/>
          </w:tcPr>
          <w:p>
            <w:r/>
            <w:r>
              <w:rPr>
                <w:rFonts w:ascii="Arial" w:hAnsi="Arial"/>
                <w:b w:val="0"/>
                <w:sz w:val="16"/>
              </w:rPr>
              <w:t>Schutz klassischer Beitragslogik</w:t>
            </w:r>
          </w:p>
        </w:tc>
        <w:tc>
          <w:tcPr>
            <w:tcW w:type="dxa" w:w="3400"/>
            <w:vAlign w:val="top"/>
          </w:tcPr>
          <w:p>
            <w:r/>
            <w:r>
              <w:rPr>
                <w:rFonts w:ascii="Arial" w:hAnsi="Arial"/>
                <w:b w:val="0"/>
                <w:sz w:val="16"/>
              </w:rPr>
              <w:t>aus bisherigen Ansprüchen / Übergangsrecht</w:t>
            </w:r>
          </w:p>
        </w:tc>
      </w:tr>
      <w:tr>
        <w:tc>
          <w:tcPr>
            <w:tcW w:type="dxa" w:w="3400"/>
            <w:vAlign w:val="top"/>
            <w:shd w:fill="F6F1E8"/>
          </w:tcPr>
          <w:p>
            <w:r/>
            <w:r>
              <w:rPr>
                <w:rFonts w:ascii="Arial" w:hAnsi="Arial"/>
                <w:b w:val="0"/>
                <w:sz w:val="16"/>
              </w:rPr>
              <w:t>Lebenswirkungsbonus</w:t>
            </w:r>
          </w:p>
        </w:tc>
        <w:tc>
          <w:tcPr>
            <w:tcW w:type="dxa" w:w="3400"/>
            <w:vAlign w:val="top"/>
          </w:tcPr>
          <w:p>
            <w:r/>
            <w:r>
              <w:rPr>
                <w:rFonts w:ascii="Arial" w:hAnsi="Arial"/>
                <w:b w:val="0"/>
                <w:sz w:val="16"/>
              </w:rPr>
              <w:t>Anerkennung nicht hinreichend sichtbarer Wirkleistung</w:t>
            </w:r>
          </w:p>
        </w:tc>
        <w:tc>
          <w:tcPr>
            <w:tcW w:type="dxa" w:w="3400"/>
            <w:vAlign w:val="top"/>
          </w:tcPr>
          <w:p>
            <w:r/>
            <w:r>
              <w:rPr>
                <w:rFonts w:ascii="Arial" w:hAnsi="Arial"/>
                <w:b w:val="0"/>
                <w:sz w:val="16"/>
              </w:rPr>
              <w:t>0 bis 25 % der Basisrente, begrenzt</w:t>
            </w:r>
          </w:p>
        </w:tc>
      </w:tr>
      <w:tr>
        <w:tc>
          <w:tcPr>
            <w:tcW w:type="dxa" w:w="3400"/>
            <w:vAlign w:val="top"/>
            <w:shd w:fill="F6F1E8"/>
          </w:tcPr>
          <w:p>
            <w:r/>
            <w:r>
              <w:rPr>
                <w:rFonts w:ascii="Arial" w:hAnsi="Arial"/>
                <w:b w:val="0"/>
                <w:sz w:val="16"/>
              </w:rPr>
              <w:t>Wirkungsdividende</w:t>
            </w:r>
          </w:p>
        </w:tc>
        <w:tc>
          <w:tcPr>
            <w:tcW w:type="dxa" w:w="3400"/>
            <w:vAlign w:val="top"/>
          </w:tcPr>
          <w:p>
            <w:r/>
            <w:r>
              <w:rPr>
                <w:rFonts w:ascii="Arial" w:hAnsi="Arial"/>
                <w:b w:val="0"/>
                <w:sz w:val="16"/>
              </w:rPr>
              <w:t>Ausschüttung aus systemischer Produktivitäts- und Fondslogik</w:t>
            </w:r>
          </w:p>
        </w:tc>
        <w:tc>
          <w:tcPr>
            <w:tcW w:type="dxa" w:w="3400"/>
            <w:vAlign w:val="top"/>
          </w:tcPr>
          <w:p>
            <w:r/>
            <w:r>
              <w:rPr>
                <w:rFonts w:ascii="Arial" w:hAnsi="Arial"/>
                <w:b w:val="0"/>
                <w:sz w:val="16"/>
              </w:rPr>
              <w:t>jährlich dynamisch, modellhaft</w:t>
            </w:r>
          </w:p>
        </w:tc>
      </w:tr>
      <w:tr>
        <w:tc>
          <w:tcPr>
            <w:tcW w:type="dxa" w:w="3400"/>
            <w:vAlign w:val="top"/>
            <w:shd w:fill="F6F1E8"/>
          </w:tcPr>
          <w:p>
            <w:r/>
            <w:r>
              <w:rPr>
                <w:rFonts w:ascii="Arial" w:hAnsi="Arial"/>
                <w:b w:val="0"/>
                <w:sz w:val="16"/>
              </w:rPr>
              <w:t>Schutzkorridor</w:t>
            </w:r>
          </w:p>
        </w:tc>
        <w:tc>
          <w:tcPr>
            <w:tcW w:type="dxa" w:w="3400"/>
            <w:vAlign w:val="top"/>
          </w:tcPr>
          <w:p>
            <w:r/>
            <w:r>
              <w:rPr>
                <w:rFonts w:ascii="Arial" w:hAnsi="Arial"/>
                <w:b w:val="0"/>
                <w:sz w:val="16"/>
              </w:rPr>
              <w:t>Verhindert punitive Personenbewertung</w:t>
            </w:r>
          </w:p>
        </w:tc>
        <w:tc>
          <w:tcPr>
            <w:tcW w:type="dxa" w:w="3400"/>
            <w:vAlign w:val="top"/>
          </w:tcPr>
          <w:p>
            <w:r/>
            <w:r>
              <w:rPr>
                <w:rFonts w:ascii="Arial" w:hAnsi="Arial"/>
                <w:b w:val="0"/>
                <w:sz w:val="16"/>
              </w:rPr>
              <w:t>keine Unterschreitung der Würdeebene</w:t>
            </w:r>
          </w:p>
        </w:tc>
      </w:tr>
    </w:tbl>
    <w:p/>
    <w:p>
      <w:pPr>
        <w:pStyle w:val="Heading1"/>
      </w:pPr>
      <w:r>
        <w:t>4. Unterbereiche der Wirkungsrente</w:t>
      </w:r>
    </w:p>
    <w:p>
      <w:pPr>
        <w:pStyle w:val="Heading2"/>
      </w:pPr>
      <w:r>
        <w:t>Wirkungsrente und neuer Generationenvertrag</w:t>
      </w:r>
    </w:p>
    <w:p>
      <w:r>
        <w:t>Problem: Das bestehende Rentensystem koppelt Sicherheit im Alter stark an Erwerbsbiografie, Einkommen und Beitragsjahre. Dadurch erscheinen Care-Arbeit, Bildung, Pflege, Ehrenamt, Prävention, Transformation und demokratisches Engagement zu oft als Randzeiten oder Lücken, obwohl sie gesellschaftliche Stabilität tragen.</w:t>
      </w:r>
    </w:p>
    <w:p>
      <w:r>
        <w:t>Wirkungsökonomischer Perspektivwechsel: Die Wirkungsrente denkt Generationenvertrag als Wirkungskreislauf: Die Wirkenden sichern die Zukunft der Wirkenden. Rente wird nicht nur als Auszahlung vergangener Beiträge verstanden, sondern als Anerkennung und Stabilisierung eines lebenslangen Wirkungsbeitrags.</w:t>
      </w:r>
    </w:p>
    <w:p>
      <w:pPr>
        <w:pStyle w:val="ListBullet"/>
      </w:pPr>
      <w:r>
        <w:t>Generationengerechtigkeit ohne Generationenkampf</w:t>
      </w:r>
    </w:p>
    <w:p>
      <w:pPr>
        <w:pStyle w:val="ListBullet"/>
      </w:pPr>
      <w:r>
        <w:t>Wirkung statt bloßer Beitragsbiografie</w:t>
      </w:r>
    </w:p>
    <w:p>
      <w:pPr>
        <w:pStyle w:val="ListBullet"/>
      </w:pPr>
      <w:r>
        <w:t>Rente als Vertrauensarchitektur</w:t>
      </w:r>
    </w:p>
    <w:p>
      <w:pPr>
        <w:pStyle w:val="ListBullet"/>
      </w:pPr>
      <w:r>
        <w:t>Vom Umlagesystem zum lernenden Wirkungskreislauf</w:t>
      </w:r>
    </w:p>
    <w:p>
      <w:pPr>
        <w:pStyle w:val="ListBullet"/>
      </w:pPr>
      <w:r>
        <w:t>Politische Ausgestaltungsspielräume</w:t>
      </w:r>
    </w:p>
    <w:p>
      <w:r>
        <w:t>SDG-/SDG+-Bezug: SDG 1, SDG 3, SDG 8, SDG 10, SDG 16, SDG 17, SDG+ institutionelles Vertrauen, SDG+ gesellschaftlicher Zusammenhalt</w:t>
      </w:r>
    </w:p>
    <w:p>
      <w:pPr>
        <w:pStyle w:val="Heading2"/>
      </w:pPr>
      <w:r>
        <w:t>Basisrente, Würdesicherung und soziale Teilhabe</w:t>
      </w:r>
    </w:p>
    <w:p>
      <w:r>
        <w:t>Problem: Altersarmut und Unsicherheit entstehen dort, wo Alterssicherung zu stark an Markteinkommen gekoppelt bleibt. Wer lange Care leistet, prekär arbeitet oder von Strukturwandel betroffen ist, kann trotz hoher Lebenswirkung geringe Rentenansprüche haben.</w:t>
      </w:r>
    </w:p>
    <w:p>
      <w:r>
        <w:t>Wirkungsökonomischer Perspektivwechsel: Eine wirkungsökonomische Basisrente schützt Würde und Teilhabe unabhängig davon, ob Lebensleistung in hohe Einkommen übersetzt wurde. Sie ist kein Almosen, sondern die untere Stabilitätsebene eines demokratischen Gemeinwesens.</w:t>
      </w:r>
    </w:p>
    <w:p>
      <w:pPr>
        <w:pStyle w:val="ListBullet"/>
      </w:pPr>
      <w:r>
        <w:t>Würdegrenze statt bloßer Mindestsicherung</w:t>
      </w:r>
    </w:p>
    <w:p>
      <w:pPr>
        <w:pStyle w:val="ListBullet"/>
      </w:pPr>
      <w:r>
        <w:t>Teilhabe im Alter als gesellschaftliche Infrastruktur</w:t>
      </w:r>
    </w:p>
    <w:p>
      <w:pPr>
        <w:pStyle w:val="ListBullet"/>
      </w:pPr>
      <w:r>
        <w:t>Verbindung zu Grundsicherung und Pflege</w:t>
      </w:r>
    </w:p>
    <w:p>
      <w:pPr>
        <w:pStyle w:val="ListBullet"/>
      </w:pPr>
      <w:r>
        <w:t>Schutz vor verdeckter Altersarmut</w:t>
      </w:r>
    </w:p>
    <w:p>
      <w:pPr>
        <w:pStyle w:val="ListBullet"/>
      </w:pPr>
      <w:r>
        <w:t>Finanzierung und politische Spielräume</w:t>
      </w:r>
    </w:p>
    <w:p>
      <w:r>
        <w:t>SDG-/SDG+-Bezug: SDG 1, SDG 3, SDG 10, SDG 16, SDG+ gesellschaftlicher Zusammenhalt</w:t>
      </w:r>
    </w:p>
    <w:p>
      <w:pPr>
        <w:pStyle w:val="Heading2"/>
      </w:pPr>
      <w:r>
        <w:t>Lebenswirkungs-Konto und Wirkungsbiografie</w:t>
      </w:r>
    </w:p>
    <w:p>
      <w:r>
        <w:t>Problem: Lebensläufe werden rentenrechtlich häufig als Beitrags-, Versicherungs- und Lückenbiografien gelesen. Diese Sicht erkennt Tätigkeiten nur unvollständig, die nicht gut bezahlt sind, aber Zustände verbessern.</w:t>
      </w:r>
    </w:p>
    <w:p>
      <w:r>
        <w:t>Wirkungsökonomischer Perspektivwechsel: Das Lebenswirkungs-Konto macht Wirkung über den Lebenslauf sichtbar, ohne Menschen zu bewerten. Es dokumentiert anerkannte Wirkungsräume, Qualifikationen, Care-Zeiten, Engagement, Transformationsbeiträge und Belastungen als Grundlage für Transparenz und Fairness.</w:t>
      </w:r>
    </w:p>
    <w:p>
      <w:pPr>
        <w:pStyle w:val="ListBullet"/>
      </w:pPr>
      <w:r>
        <w:t>Was gespeichert wird - und was nicht</w:t>
      </w:r>
    </w:p>
    <w:p>
      <w:pPr>
        <w:pStyle w:val="ListBullet"/>
      </w:pPr>
      <w:r>
        <w:t>Keine Personenbewertung, kein Social Credit</w:t>
      </w:r>
    </w:p>
    <w:p>
      <w:pPr>
        <w:pStyle w:val="ListBullet"/>
      </w:pPr>
      <w:r>
        <w:t>Anerkennungsfelder und Nachweise</w:t>
      </w:r>
    </w:p>
    <w:p>
      <w:pPr>
        <w:pStyle w:val="ListBullet"/>
      </w:pPr>
      <w:r>
        <w:t>Datenschutz und Recht auf Korrektur</w:t>
      </w:r>
    </w:p>
    <w:p>
      <w:pPr>
        <w:pStyle w:val="ListBullet"/>
      </w:pPr>
      <w:r>
        <w:t>Online- und Offline-Zugänglichkeit</w:t>
      </w:r>
    </w:p>
    <w:p>
      <w:r>
        <w:t>SDG-/SDG+-Bezug: SDG 4, SDG 5, SDG 8, SDG 10, SDG 16, SDG+ digitale Selbstbestimmung</w:t>
      </w:r>
    </w:p>
    <w:p>
      <w:pPr>
        <w:pStyle w:val="Heading2"/>
      </w:pPr>
      <w:r>
        <w:t>Lebenswirkungs-Faktor und Berechnungslogik</w:t>
      </w:r>
    </w:p>
    <w:p>
      <w:r>
        <w:t>Problem: Die heutige Rentenformel rechnet Beiträge präzise, aber Wirkung nur indirekt. Sie kann nicht erklären, warum gesellschaftlich unverzichtbare Tätigkeiten im Alter oft schlechter abgesichert sind als hoch bezahlte, aber wirkungsambivalente Tätigkeiten.</w:t>
      </w:r>
    </w:p>
    <w:p>
      <w:r>
        <w:t>Wirkungsökonomischer Perspektivwechsel: Der Lebenswirkungs-Faktor ergänzt die klassische Rentenlogik um eine begrenzte, transparente und überprüfbare Wirkungslogik. Er erhöht nicht beliebig, sondern korrigiert erkennbare Wirkungslücken, ohne die Würdegrenze zu unterschreiten.</w:t>
      </w:r>
    </w:p>
    <w:p>
      <w:pPr>
        <w:pStyle w:val="ListBullet"/>
      </w:pPr>
      <w:r>
        <w:t>Arbeitsannahme v0.1 der Formel</w:t>
      </w:r>
    </w:p>
    <w:p>
      <w:pPr>
        <w:pStyle w:val="ListBullet"/>
      </w:pPr>
      <w:r>
        <w:t>Schutzkorridore und Begrenzungen</w:t>
      </w:r>
    </w:p>
    <w:p>
      <w:pPr>
        <w:pStyle w:val="ListBullet"/>
      </w:pPr>
      <w:r>
        <w:t>Positive, negative und neutrale Wirkung</w:t>
      </w:r>
    </w:p>
    <w:p>
      <w:pPr>
        <w:pStyle w:val="ListBullet"/>
      </w:pPr>
      <w:r>
        <w:t>Nicht-Kompensation bei roten Linien</w:t>
      </w:r>
    </w:p>
    <w:p>
      <w:pPr>
        <w:pStyle w:val="ListBullet"/>
      </w:pPr>
      <w:r>
        <w:t>Beispielrechnung und Unsicherheit</w:t>
      </w:r>
    </w:p>
    <w:p>
      <w:r>
        <w:t>SDG-/SDG+-Bezug: SDG 1, SDG 8, SDG 10, SDG 16, SDG+ Rechtsstaatlichkeit</w:t>
      </w:r>
    </w:p>
    <w:p>
      <w:pPr>
        <w:pStyle w:val="Heading2"/>
      </w:pPr>
      <w:r>
        <w:t>Care, Bildung, Pflege, Ehrenamt und Wirkleistung</w:t>
      </w:r>
    </w:p>
    <w:p>
      <w:r>
        <w:t>Problem: Care, Bildung, Pflege, Ehrenamt, kulturelle Arbeit und demokratisches Engagement erzeugen Stabilität, werden aber oft schlechter bezahlt oder gar nicht entlohnt. Das erzeugt Rentenlücken und schwächt Vertrauen in das Leistungsprinzip.</w:t>
      </w:r>
    </w:p>
    <w:p>
      <w:r>
        <w:t>Wirkungsökonomischer Perspektivwechsel: Die Wirkungsrente erkennt nicht-marktliche und unterbewertete Wirkleistung als systemische Leistung an. Sie unterscheidet dabei zwischen echter Wirkleistung, bloßer Aktivität und symbolischer Behauptung.</w:t>
      </w:r>
    </w:p>
    <w:p>
      <w:pPr>
        <w:pStyle w:val="ListBullet"/>
      </w:pPr>
      <w:r>
        <w:t>Care als Infrastrukturleistung</w:t>
      </w:r>
    </w:p>
    <w:p>
      <w:pPr>
        <w:pStyle w:val="ListBullet"/>
      </w:pPr>
      <w:r>
        <w:t>Bildung und Prävention als Zukunftswirkung</w:t>
      </w:r>
    </w:p>
    <w:p>
      <w:pPr>
        <w:pStyle w:val="ListBullet"/>
      </w:pPr>
      <w:r>
        <w:t>Ehrenamt und Demokratiearbeit</w:t>
      </w:r>
    </w:p>
    <w:p>
      <w:pPr>
        <w:pStyle w:val="ListBullet"/>
      </w:pPr>
      <w:r>
        <w:t>Nachweise ohne Bürokratiewut</w:t>
      </w:r>
    </w:p>
    <w:p>
      <w:pPr>
        <w:pStyle w:val="ListBullet"/>
      </w:pPr>
      <w:r>
        <w:t>Gender Pension Gap und Care-Gerechtigkeit</w:t>
      </w:r>
    </w:p>
    <w:p>
      <w:r>
        <w:t>SDG-/SDG+-Bezug: SDG 3, SDG 4, SDG 5, SDG 10, SDG 16, SDG+ Demokratie</w:t>
      </w:r>
    </w:p>
    <w:p>
      <w:pPr>
        <w:pStyle w:val="Heading2"/>
      </w:pPr>
      <w:r>
        <w:t>Automatisierung, Sozialabgaben-Entkopplung und Wirkungsdividende</w:t>
      </w:r>
    </w:p>
    <w:p>
      <w:r>
        <w:t>Problem: Wenn Maschinen, KI und Plattformen mehr produktive Arbeit übernehmen, bricht die Kette Arbeit - Einkommen - Sozialabgaben - Rentenfinanzierung. Eine Ordnung, die soziale Sicherung an menschliche Lohnarbeit bindet, wird dadurch instabil.</w:t>
      </w:r>
    </w:p>
    <w:p>
      <w:r>
        <w:t>Wirkungsökonomischer Perspektivwechsel: Die Wirkungsökonomie entkoppelt die Finanzierungsbasis sozialer Sicherung schrittweise von menschlicher Arbeitsleistung. Automatisierte Wertschöpfung wird nicht bestraft, sondern gesellschaftlich rückgekoppelt: in Wirkungsfonds, Wirkungsdividende und sozial stabile Übergänge.</w:t>
      </w:r>
    </w:p>
    <w:p>
      <w:pPr>
        <w:pStyle w:val="ListBullet"/>
      </w:pPr>
      <w:r>
        <w:t>Warum Robotersteuer allein zu kurz greift</w:t>
      </w:r>
    </w:p>
    <w:p>
      <w:pPr>
        <w:pStyle w:val="ListBullet"/>
      </w:pPr>
      <w:r>
        <w:t>Maschinenleistung als Wertschöpfungsquelle</w:t>
      </w:r>
    </w:p>
    <w:p>
      <w:pPr>
        <w:pStyle w:val="ListBullet"/>
      </w:pPr>
      <w:r>
        <w:t>Sozialabgaben-Entkopplung</w:t>
      </w:r>
    </w:p>
    <w:p>
      <w:pPr>
        <w:pStyle w:val="ListBullet"/>
      </w:pPr>
      <w:r>
        <w:t>Wirkungsdividende als systemischer Anspruch</w:t>
      </w:r>
    </w:p>
    <w:p>
      <w:pPr>
        <w:pStyle w:val="ListBullet"/>
      </w:pPr>
      <w:r>
        <w:t>Übergänge für Unternehmen und Beschäftigte</w:t>
      </w:r>
    </w:p>
    <w:p>
      <w:r>
        <w:t>SDG-/SDG+-Bezug: SDG 8, SDG 9, SDG 10, SDG 16, SDG+ institutionelles Vertrauen</w:t>
      </w:r>
    </w:p>
    <w:p>
      <w:pPr>
        <w:pStyle w:val="Heading2"/>
      </w:pPr>
      <w:r>
        <w:t>Renten-Impact-Fonds und Wirkungsfondsarchitektur</w:t>
      </w:r>
    </w:p>
    <w:p>
      <w:r>
        <w:t>Problem: Kapitalgedeckte Altersvorsorge kann alte Fehler wiederholen, wenn sie Rendite aus zerstörerischen Geschäftsmodellen bezieht. Dann finanziert Altersvorsorge die Risiken, die künftige Generationen tragen müssen.</w:t>
      </w:r>
    </w:p>
    <w:p>
      <w:r>
        <w:t>Wirkungsökonomischer Perspektivwechsel: Wirkungsfonds investieren Kapital nach positiver Netto-Wirkung. Der Renten-Impact-Fonds wird nicht als Spekulationsinstrument verstanden, sondern als Transformations- und Stabilitätsinstrument für Bildung, Gesundheit, Wohnen, Klima, Pflege, Demokratie und Infrastruktur.</w:t>
      </w:r>
    </w:p>
    <w:p>
      <w:pPr>
        <w:pStyle w:val="ListBullet"/>
      </w:pPr>
      <w:r>
        <w:t>Kapital als Werkzeug, nicht Ziel</w:t>
      </w:r>
    </w:p>
    <w:p>
      <w:pPr>
        <w:pStyle w:val="ListBullet"/>
      </w:pPr>
      <w:r>
        <w:t>Fondsquellen und Mittelverwendung</w:t>
      </w:r>
    </w:p>
    <w:p>
      <w:pPr>
        <w:pStyle w:val="ListBullet"/>
      </w:pPr>
      <w:r>
        <w:t>Investitionskriterien und Ausschlüsse</w:t>
      </w:r>
    </w:p>
    <w:p>
      <w:pPr>
        <w:pStyle w:val="ListBullet"/>
      </w:pPr>
      <w:r>
        <w:t>Rendite als Folge positiver Wirkung</w:t>
      </w:r>
    </w:p>
    <w:p>
      <w:pPr>
        <w:pStyle w:val="ListBullet"/>
      </w:pPr>
      <w:r>
        <w:t>Governance und Wirkungsrat</w:t>
      </w:r>
    </w:p>
    <w:p>
      <w:r>
        <w:t>SDG-/SDG+-Bezug: SDG 1, SDG 3, SDG 9, SDG 10, SDG 11, SDG 13, SDG 16, SDG 17</w:t>
      </w:r>
    </w:p>
    <w:p>
      <w:pPr>
        <w:pStyle w:val="Heading2"/>
      </w:pPr>
      <w:r>
        <w:t>Betriebliche und private Vorsorge nach Wirkung</w:t>
      </w:r>
    </w:p>
    <w:p>
      <w:r>
        <w:t>Problem: Betriebliche und private Vorsorge können individuelle Sicherheit stärken, aber auch Wirkungslücken erzeugen, wenn Kapitalanlagen nach Rendite ohne Wirkungswahrheit gesteuert werden.</w:t>
      </w:r>
    </w:p>
    <w:p>
      <w:r>
        <w:t>Wirkungsökonomischer Perspektivwechsel: Die Wirkungsökonomie ordnet betriebliche und private Vorsorge nicht ab, sondern richtet sie neu aus: Transparente Kapitalwirkung, faire Kosten, soziale Zugänglichkeit und Resilienz werden zu Qualitätskriterien.</w:t>
      </w:r>
    </w:p>
    <w:p>
      <w:pPr>
        <w:pStyle w:val="ListBullet"/>
      </w:pPr>
      <w:r>
        <w:t>Betriebsrente als Transformationsinstrument</w:t>
      </w:r>
    </w:p>
    <w:p>
      <w:pPr>
        <w:pStyle w:val="ListBullet"/>
      </w:pPr>
      <w:r>
        <w:t>Private Vorsorge ohne Greenwashing</w:t>
      </w:r>
    </w:p>
    <w:p>
      <w:pPr>
        <w:pStyle w:val="ListBullet"/>
      </w:pPr>
      <w:r>
        <w:t>Kapitalwirkung, ESG und WÖk-IDs</w:t>
      </w:r>
    </w:p>
    <w:p>
      <w:pPr>
        <w:pStyle w:val="ListBullet"/>
      </w:pPr>
      <w:r>
        <w:t>Versicherbarkeit und Risiko-Wahrheit</w:t>
      </w:r>
    </w:p>
    <w:p>
      <w:pPr>
        <w:pStyle w:val="ListBullet"/>
      </w:pPr>
      <w:r>
        <w:t>Schutz für kleine Einkommen</w:t>
      </w:r>
    </w:p>
    <w:p>
      <w:r>
        <w:t>SDG-/SDG+-Bezug: SDG 8, SDG 10, SDG 12, SDG 16, SDG+ institutionelles Vertrauen</w:t>
      </w:r>
    </w:p>
    <w:p>
      <w:pPr>
        <w:pStyle w:val="Heading2"/>
      </w:pPr>
      <w:r>
        <w:t>Rechtsschutz, Datenschutz und Korrekturverfahren</w:t>
      </w:r>
    </w:p>
    <w:p>
      <w:r>
        <w:t>Problem: Ein System, das Lebenswirkung sichtbar macht, kann Vertrauen nur gewinnen, wenn es klare Grenzen, Rechte, Korrekturwege und Schutz vor technokratischer Verengung hat.</w:t>
      </w:r>
    </w:p>
    <w:p>
      <w:r>
        <w:t>Wirkungsökonomischer Perspektivwechsel: Wirkungsdaten bereiten Entscheidungen vor, ersetzen sie aber nicht. Das Rentensystem braucht Transparenz, Datensparsamkeit, Einspruchsrechte, menschliche Prüfung und parlamentarische Kontrolle.</w:t>
      </w:r>
    </w:p>
    <w:p>
      <w:pPr>
        <w:pStyle w:val="ListBullet"/>
      </w:pPr>
      <w:r>
        <w:t>Datensparsamkeit und Zweckbindung</w:t>
      </w:r>
    </w:p>
    <w:p>
      <w:pPr>
        <w:pStyle w:val="ListBullet"/>
      </w:pPr>
      <w:r>
        <w:t>Recht auf Auskunft und Korrektur</w:t>
      </w:r>
    </w:p>
    <w:p>
      <w:pPr>
        <w:pStyle w:val="ListBullet"/>
      </w:pPr>
      <w:r>
        <w:t>Keine automatisierte Letztentscheidung</w:t>
      </w:r>
    </w:p>
    <w:p>
      <w:pPr>
        <w:pStyle w:val="ListBullet"/>
      </w:pPr>
      <w:r>
        <w:t>Schutz vulnerabler Gruppen</w:t>
      </w:r>
    </w:p>
    <w:p>
      <w:pPr>
        <w:pStyle w:val="ListBullet"/>
      </w:pPr>
      <w:r>
        <w:t>Demokratische Evaluation</w:t>
      </w:r>
    </w:p>
    <w:p>
      <w:r>
        <w:t>SDG-/SDG+-Bezug: SDG 10, SDG 16, SDG 17, SDG+ Rechtsstaatlichkeit, SDG+ digitale Selbstbestimmung</w:t>
      </w:r>
    </w:p>
    <w:p>
      <w:pPr>
        <w:pStyle w:val="Heading2"/>
      </w:pPr>
      <w:r>
        <w:t>Politische Anschlussfähigkeit und Umsetzungsoptionen</w:t>
      </w:r>
    </w:p>
    <w:p>
      <w:r>
        <w:t>Problem: Rentenreformen scheitern oft, wenn sie als Nullsummenspiel zwischen Generationen, Parteien oder Einkommensgruppen erscheinen.</w:t>
      </w:r>
    </w:p>
    <w:p>
      <w:r>
        <w:t>Wirkungsökonomischer Perspektivwechsel: Die Wirkungsrente formuliert einen Rahmen, aber keinen fertigen Parteibeschluss. Parteien können unterschiedliche Wege wählen: stärker umlageorientiert, stärker fondsorientiert, stärker kommunal, stärker marktwirtschaftlich oder stärker sozialstaatlich - solange Wirkung sichtbar, überprüfbar und korrigierbar bleibt.</w:t>
      </w:r>
    </w:p>
    <w:p>
      <w:pPr>
        <w:pStyle w:val="ListBullet"/>
      </w:pPr>
      <w:r>
        <w:t>Parteipolitischer Ausgestaltungsspielraum</w:t>
      </w:r>
    </w:p>
    <w:p>
      <w:pPr>
        <w:pStyle w:val="ListBullet"/>
      </w:pPr>
      <w:r>
        <w:t>Pilotierung und Revisionszyklen</w:t>
      </w:r>
    </w:p>
    <w:p>
      <w:pPr>
        <w:pStyle w:val="ListBullet"/>
      </w:pPr>
      <w:r>
        <w:t>Bund, Länder, Kommunen, EU</w:t>
      </w:r>
    </w:p>
    <w:p>
      <w:pPr>
        <w:pStyle w:val="ListBullet"/>
      </w:pPr>
      <w:r>
        <w:t>Sozialer Schutz im Übergang</w:t>
      </w:r>
    </w:p>
    <w:p>
      <w:pPr>
        <w:pStyle w:val="ListBullet"/>
      </w:pPr>
      <w:r>
        <w:t>Evaluation und demokratische Korrektur</w:t>
      </w:r>
    </w:p>
    <w:p>
      <w:r>
        <w:t>SDG-/SDG+-Bezug: SDG 16, SDG 17, SDG+ Demokratie, SDG+ Diskursfähigkeit</w:t>
      </w:r>
    </w:p>
    <w:p>
      <w:pPr>
        <w:pStyle w:val="Heading1"/>
      </w:pPr>
      <w:r>
        <w:t>5. Daten, Nachweise und Schutz vor Technokratie</w:t>
      </w:r>
    </w:p>
    <w:p>
      <w:r>
        <w:t>Eine Wirkungsrente darf kein Social-Credit-System werden. Sie darf Menschen nicht nach ihrem vermeintlichen Wert sortieren. Bewertet werden Beitragsarten, Wirkungskontexte, institutionelle Rahmenbedingungen und anerkannte Wirkleistungen - nicht die Würde einer Person. Deshalb braucht die Architektur Datensparsamkeit, Zweckbindung, transparente Nachweise, Einspruchsrechte und menschliche Überprüfung.</w:t>
      </w:r>
    </w:p>
    <w:p>
      <w:pPr>
        <w:pStyle w:val="ListBullet"/>
      </w:pPr>
      <w:r>
        <w:t>Keine automatisierte Letztentscheidung über Rentenansprüche.</w:t>
      </w:r>
    </w:p>
    <w:p>
      <w:pPr>
        <w:pStyle w:val="ListBullet"/>
      </w:pPr>
      <w:r>
        <w:t>Recht auf Auskunft, Korrektur und Widerspruch.</w:t>
      </w:r>
    </w:p>
    <w:p>
      <w:pPr>
        <w:pStyle w:val="ListBullet"/>
      </w:pPr>
      <w:r>
        <w:t>Öffentliche Methodik und parlamentarische Kontrolle.</w:t>
      </w:r>
    </w:p>
    <w:p>
      <w:pPr>
        <w:pStyle w:val="ListBullet"/>
      </w:pPr>
      <w:r>
        <w:t>Wirkungsrat als plural besetzte Wächterinstitution.</w:t>
      </w:r>
    </w:p>
    <w:p>
      <w:pPr>
        <w:pStyle w:val="ListBullet"/>
      </w:pPr>
      <w:r>
        <w:t>Sensible Daten nur mit strenger Zweckbindung und Schutzmaßnahmen.</w:t>
      </w:r>
    </w:p>
    <w:p>
      <w:pPr>
        <w:pStyle w:val="Heading1"/>
      </w:pPr>
      <w:r>
        <w:t>6. Übergang: Evolution statt Bruch</w:t>
      </w:r>
    </w:p>
    <w:p>
      <w:r>
        <w:t>Die Wirkungsrente kann nicht als Schockreform eingeführt werden. Sie braucht Pilotphasen, Modellregionen, freiwillige Ergänzungskonten, Datenschutzprüfung, sozialpolitische Simulation, öffentliche Konsultation und gesetzliche Revisionszyklen. Der Übergang schützt erworbene Ansprüche und eröffnet zugleich neue Anerkennungswege für künftige Generationen.</w:t>
      </w:r>
    </w:p>
    <w:p>
      <w:pPr>
        <w:pStyle w:val="Heading1"/>
      </w:pPr>
      <w:r>
        <w:t>Politische Anschlussfähigkeit und Umsetzungsoptionen</w:t>
      </w:r>
    </w:p>
    <w:p>
      <w:r>
        <w:t>Die folgenden politischen Anforderungen beschreiben keinen fertigen Parteibeschluss. Sie markieren den Rahmen, damit das Wirkungsfeld demokratisch, rechtsstaatlich und praktisch umgesetzt werden kann. Unterschiedliche Parteien können innerhalb dieses Rahmens verschiedene Wege wählen. Entscheidend ist, dass Wirkung sichtbar, überprüfbar, korrigierbar und grundrechtskonform bleibt.</w:t>
      </w:r>
    </w:p>
    <w:tbl>
      <w:tblPr>
        <w:tblStyle w:val="TableGrid"/>
        <w:tblW w:type="auto" w:w="0"/>
        <w:jc w:val="center"/>
        <w:tblLook w:firstColumn="1" w:firstRow="1" w:lastColumn="0" w:lastRow="0" w:noHBand="0" w:noVBand="1" w:val="04A0"/>
      </w:tblPr>
      <w:tblGrid>
        <w:gridCol w:w="5100"/>
        <w:gridCol w:w="5100"/>
      </w:tblGrid>
      <w:tr>
        <w:tc>
          <w:tcPr>
            <w:tcW w:type="dxa" w:w="5100"/>
            <w:vAlign w:val="top"/>
            <w:shd w:fill="0B132B"/>
          </w:tcPr>
          <w:p>
            <w:r/>
            <w:r>
              <w:rPr>
                <w:rFonts w:ascii="Arial" w:hAnsi="Arial"/>
                <w:b/>
                <w:color w:val="FFFFFF"/>
                <w:sz w:val="17"/>
              </w:rPr>
              <w:t>Ebene</w:t>
            </w:r>
          </w:p>
        </w:tc>
        <w:tc>
          <w:tcPr>
            <w:tcW w:type="dxa" w:w="5100"/>
            <w:vAlign w:val="top"/>
            <w:shd w:fill="0B132B"/>
          </w:tcPr>
          <w:p>
            <w:r/>
            <w:r>
              <w:rPr>
                <w:rFonts w:ascii="Arial" w:hAnsi="Arial"/>
                <w:b/>
                <w:color w:val="FFFFFF"/>
                <w:sz w:val="17"/>
              </w:rPr>
              <w:t>Aufgabe für Politik und Umsetzung</w:t>
            </w:r>
          </w:p>
        </w:tc>
      </w:tr>
      <w:tr>
        <w:tc>
          <w:tcPr>
            <w:tcW w:type="dxa" w:w="5100"/>
            <w:vAlign w:val="top"/>
            <w:shd w:fill="F6F1E8"/>
          </w:tcPr>
          <w:p>
            <w:r/>
            <w:r>
              <w:rPr>
                <w:rFonts w:ascii="Arial" w:hAnsi="Arial"/>
                <w:b w:val="0"/>
                <w:sz w:val="16"/>
              </w:rPr>
              <w:t>Aufgabe der Politik</w:t>
            </w:r>
          </w:p>
        </w:tc>
        <w:tc>
          <w:tcPr>
            <w:tcW w:type="dxa" w:w="5100"/>
            <w:vAlign w:val="top"/>
          </w:tcPr>
          <w:p>
            <w:r/>
            <w:r>
              <w:rPr>
                <w:rFonts w:ascii="Arial" w:hAnsi="Arial"/>
                <w:b w:val="0"/>
                <w:sz w:val="16"/>
              </w:rPr>
              <w:t>Rente und soziale Sicherung braucht einen Rahmen, der Würde im Alter, Teilhabe, Finanzierungsstabilität, Lebenswirkung und demokratische Korrektur verbindet.</w:t>
            </w:r>
          </w:p>
        </w:tc>
      </w:tr>
      <w:tr>
        <w:tc>
          <w:tcPr>
            <w:tcW w:type="dxa" w:w="5100"/>
            <w:vAlign w:val="top"/>
            <w:shd w:fill="F6F1E8"/>
          </w:tcPr>
          <w:p>
            <w:r/>
            <w:r>
              <w:rPr>
                <w:rFonts w:ascii="Arial" w:hAnsi="Arial"/>
                <w:b w:val="0"/>
                <w:sz w:val="16"/>
              </w:rPr>
              <w:t>Politische Rahmenbedingungen</w:t>
            </w:r>
          </w:p>
        </w:tc>
        <w:tc>
          <w:tcPr>
            <w:tcW w:type="dxa" w:w="5100"/>
            <w:vAlign w:val="top"/>
          </w:tcPr>
          <w:p>
            <w:r/>
            <w:r>
              <w:rPr>
                <w:rFonts w:ascii="Arial" w:hAnsi="Arial"/>
                <w:b w:val="0"/>
                <w:sz w:val="16"/>
              </w:rPr>
              <w:t>Rentenrecht, Sozialversicherungsrecht, Steuerrecht, Datenschutz, Fondsaufsicht, WÖk-IDs, Wirkungshaushalt, Wirkungsrat und Verwaltung müssen zusammen gedacht werden.</w:t>
            </w:r>
          </w:p>
        </w:tc>
      </w:tr>
      <w:tr>
        <w:tc>
          <w:tcPr>
            <w:tcW w:type="dxa" w:w="5100"/>
            <w:vAlign w:val="top"/>
            <w:shd w:fill="F6F1E8"/>
          </w:tcPr>
          <w:p>
            <w:r/>
            <w:r>
              <w:rPr>
                <w:rFonts w:ascii="Arial" w:hAnsi="Arial"/>
                <w:b w:val="0"/>
                <w:sz w:val="16"/>
              </w:rPr>
              <w:t>Ausgestaltungsspielraum</w:t>
            </w:r>
          </w:p>
        </w:tc>
        <w:tc>
          <w:tcPr>
            <w:tcW w:type="dxa" w:w="5100"/>
            <w:vAlign w:val="top"/>
          </w:tcPr>
          <w:p>
            <w:r/>
            <w:r>
              <w:rPr>
                <w:rFonts w:ascii="Arial" w:hAnsi="Arial"/>
                <w:b w:val="0"/>
                <w:sz w:val="16"/>
              </w:rPr>
              <w:t>Parteien können unterschiedlich gewichten: Umlage, Fonds, Basisrente, Bonuskorridore, Beitragssätze, Steuerfinanzierung, Pilotierung, öffentliche oder private Träger.</w:t>
            </w:r>
          </w:p>
        </w:tc>
      </w:tr>
      <w:tr>
        <w:tc>
          <w:tcPr>
            <w:tcW w:type="dxa" w:w="5100"/>
            <w:vAlign w:val="top"/>
            <w:shd w:fill="F6F1E8"/>
          </w:tcPr>
          <w:p>
            <w:r/>
            <w:r>
              <w:rPr>
                <w:rFonts w:ascii="Arial" w:hAnsi="Arial"/>
                <w:b w:val="0"/>
                <w:sz w:val="16"/>
              </w:rPr>
              <w:t>Zielkonflikte</w:t>
            </w:r>
          </w:p>
        </w:tc>
        <w:tc>
          <w:tcPr>
            <w:tcW w:type="dxa" w:w="5100"/>
            <w:vAlign w:val="top"/>
          </w:tcPr>
          <w:p>
            <w:r/>
            <w:r>
              <w:rPr>
                <w:rFonts w:ascii="Arial" w:hAnsi="Arial"/>
                <w:b w:val="0"/>
                <w:sz w:val="16"/>
              </w:rPr>
              <w:t>Würde vs. Leistungsprinzip, Datenschutz vs. Nachweis, Einfachheit vs. Präzision, Generationengerechtigkeit vs. erworbene Ansprüche, Innovationsförderung vs. soziale Finanzierung.</w:t>
            </w:r>
          </w:p>
        </w:tc>
      </w:tr>
      <w:tr>
        <w:tc>
          <w:tcPr>
            <w:tcW w:type="dxa" w:w="5100"/>
            <w:vAlign w:val="top"/>
            <w:shd w:fill="F6F1E8"/>
          </w:tcPr>
          <w:p>
            <w:r/>
            <w:r>
              <w:rPr>
                <w:rFonts w:ascii="Arial" w:hAnsi="Arial"/>
                <w:b w:val="0"/>
                <w:sz w:val="16"/>
              </w:rPr>
              <w:t>Rollenverteilung</w:t>
            </w:r>
          </w:p>
        </w:tc>
        <w:tc>
          <w:tcPr>
            <w:tcW w:type="dxa" w:w="5100"/>
            <w:vAlign w:val="top"/>
          </w:tcPr>
          <w:p>
            <w:r/>
            <w:r>
              <w:rPr>
                <w:rFonts w:ascii="Arial" w:hAnsi="Arial"/>
                <w:b w:val="0"/>
                <w:sz w:val="16"/>
              </w:rPr>
              <w:t>EU, Bund, Länder, Kommunen, Rentenversicherung, Unternehmen, Sozialverbände, Wissenschaft, Zivilgesellschaft und Bürger:innen tragen Daten, Standards, Evaluation und Umsetzung gemeinsam.</w:t>
            </w:r>
          </w:p>
        </w:tc>
      </w:tr>
      <w:tr>
        <w:tc>
          <w:tcPr>
            <w:tcW w:type="dxa" w:w="5100"/>
            <w:vAlign w:val="top"/>
            <w:shd w:fill="F6F1E8"/>
          </w:tcPr>
          <w:p>
            <w:r/>
            <w:r>
              <w:rPr>
                <w:rFonts w:ascii="Arial" w:hAnsi="Arial"/>
                <w:b w:val="0"/>
                <w:sz w:val="16"/>
              </w:rPr>
              <w:t>Übergang und Schutz</w:t>
            </w:r>
          </w:p>
        </w:tc>
        <w:tc>
          <w:tcPr>
            <w:tcW w:type="dxa" w:w="5100"/>
            <w:vAlign w:val="top"/>
          </w:tcPr>
          <w:p>
            <w:r/>
            <w:r>
              <w:rPr>
                <w:rFonts w:ascii="Arial" w:hAnsi="Arial"/>
                <w:b w:val="0"/>
                <w:sz w:val="16"/>
              </w:rPr>
              <w:t>Bestandsschutz, Härtefallregeln, freiwillige Pilotphasen, Schutz vor Scoring, Datensparsamkeit, Rechtsschutz und klare Korrekturverfahren sind zwingend.</w:t>
            </w:r>
          </w:p>
        </w:tc>
      </w:tr>
      <w:tr>
        <w:tc>
          <w:tcPr>
            <w:tcW w:type="dxa" w:w="5100"/>
            <w:vAlign w:val="top"/>
            <w:shd w:fill="F6F1E8"/>
          </w:tcPr>
          <w:p>
            <w:r/>
            <w:r>
              <w:rPr>
                <w:rFonts w:ascii="Arial" w:hAnsi="Arial"/>
                <w:b w:val="0"/>
                <w:sz w:val="16"/>
              </w:rPr>
              <w:t>Evaluation und Korrektur</w:t>
            </w:r>
          </w:p>
        </w:tc>
        <w:tc>
          <w:tcPr>
            <w:tcW w:type="dxa" w:w="5100"/>
            <w:vAlign w:val="top"/>
          </w:tcPr>
          <w:p>
            <w:r/>
            <w:r>
              <w:rPr>
                <w:rFonts w:ascii="Arial" w:hAnsi="Arial"/>
                <w:b w:val="0"/>
                <w:sz w:val="16"/>
              </w:rPr>
              <w:t>Wirkungsberichte, Rentenwirkungsmonitoring, Revisionszyklen, unabhängige Assurance und öffentliche Konsultation halten die Methodik lernfähig.</w:t>
            </w:r>
          </w:p>
        </w:tc>
      </w:tr>
      <w:tr>
        <w:tc>
          <w:tcPr>
            <w:tcW w:type="dxa" w:w="5100"/>
            <w:vAlign w:val="top"/>
            <w:shd w:fill="F6F1E8"/>
          </w:tcPr>
          <w:p>
            <w:r/>
            <w:r>
              <w:rPr>
                <w:rFonts w:ascii="Arial" w:hAnsi="Arial"/>
                <w:b w:val="0"/>
                <w:sz w:val="16"/>
              </w:rPr>
              <w:t>Parteipolitische Anschlussfähigkeit</w:t>
            </w:r>
          </w:p>
        </w:tc>
        <w:tc>
          <w:tcPr>
            <w:tcW w:type="dxa" w:w="5100"/>
            <w:vAlign w:val="top"/>
          </w:tcPr>
          <w:p>
            <w:r/>
            <w:r>
              <w:rPr>
                <w:rFonts w:ascii="Arial" w:hAnsi="Arial"/>
                <w:b w:val="0"/>
                <w:sz w:val="16"/>
              </w:rPr>
              <w:t>Konservative, liberale, sozialdemokratische, grüne, linke, kommunale und wirtschaftsnahe Perspektiven können unterschiedliche Umsetzungsoptionen wählen.</w:t>
            </w:r>
          </w:p>
        </w:tc>
      </w:tr>
      <w:tr>
        <w:tc>
          <w:tcPr>
            <w:tcW w:type="dxa" w:w="5100"/>
            <w:vAlign w:val="top"/>
            <w:shd w:fill="F6F1E8"/>
          </w:tcPr>
          <w:p>
            <w:r/>
            <w:r>
              <w:rPr>
                <w:rFonts w:ascii="Arial" w:hAnsi="Arial"/>
                <w:b w:val="0"/>
                <w:sz w:val="16"/>
              </w:rPr>
              <w:t>Schutz vor Technokratie</w:t>
            </w:r>
          </w:p>
        </w:tc>
        <w:tc>
          <w:tcPr>
            <w:tcW w:type="dxa" w:w="5100"/>
            <w:vAlign w:val="top"/>
          </w:tcPr>
          <w:p>
            <w:r/>
            <w:r>
              <w:rPr>
                <w:rFonts w:ascii="Arial" w:hAnsi="Arial"/>
                <w:b w:val="0"/>
                <w:sz w:val="16"/>
              </w:rPr>
              <w:t>Wirkungsdaten bereiten Entscheidungen vor, ersetzen sie aber nicht. Normative Entscheidungen bleiben demokratisch legitimiert.</w:t>
            </w:r>
          </w:p>
        </w:tc>
      </w:tr>
    </w:tbl>
    <w:p/>
    <w:p>
      <w:pPr>
        <w:pStyle w:val="Heading1"/>
      </w:pPr>
      <w:r>
        <w:t>7. Website- und Dossierlogik</w:t>
      </w:r>
    </w:p>
    <w:p>
      <w:r>
        <w:t>Für das Portal Rente &amp; soziale Sicherung gilt: Die Online-Volltexte sind der Hauptzugang. Word/PDF-Dokumente sind Export und Archiv. Jede Unterseite erhält einen SDG-/SDG+-Block, Buchanker, Kontext-Werkzeuge, politische Anschlussfähigkeit, Quellenregister, Druckfunktion und Downloadbereich.</w:t>
      </w:r>
    </w:p>
    <w:p>
      <w:pPr>
        <w:pStyle w:val="Heading1"/>
      </w:pPr>
      <w:r>
        <w:t>Quellen und Referenzen</w:t>
      </w:r>
    </w:p>
    <w:p>
      <w:r>
        <w:t>Die folgenden Quellen dienen als öffentliche und interne Referenzpunkte. Externe Links sind als Informationsquellen angegeben; die wirkungsökonomische Einordnung erfolgt im Rahmen der Wirkungsökonomie.</w:t>
      </w:r>
    </w:p>
    <w:p>
      <w:pPr>
        <w:pStyle w:val="ListBullet"/>
      </w:pPr>
      <w:r>
        <w:rPr>
          <w:b/>
        </w:rPr>
        <w:t xml:space="preserve">WÖk-Arbeitspapier Rentensystem: </w:t>
      </w:r>
      <w:r>
        <w:t>WP_Rente.pdf, Natalie Weber, 2025</w:t>
      </w:r>
    </w:p>
    <w:p>
      <w:pPr>
        <w:pStyle w:val="ListBullet"/>
      </w:pPr>
      <w:r>
        <w:rPr>
          <w:b/>
        </w:rPr>
        <w:t xml:space="preserve">Wenn Maschinen arbeiten: </w:t>
      </w:r>
      <w:r>
        <w:t>Natalie Weber, 2025</w:t>
      </w:r>
    </w:p>
    <w:p>
      <w:pPr>
        <w:pStyle w:val="ListBullet"/>
      </w:pPr>
      <w:r>
        <w:rPr>
          <w:b/>
        </w:rPr>
        <w:t xml:space="preserve">Die neue Ordnung des Wohlstands: </w:t>
      </w:r>
      <w:r>
        <w:t>Natalie Weber, 2026, Kapitel 56-58 und Exkurs SDGs</w:t>
      </w:r>
    </w:p>
    <w:p>
      <w:pPr>
        <w:pStyle w:val="ListBullet"/>
      </w:pPr>
      <w:r>
        <w:rPr>
          <w:b/>
        </w:rPr>
        <w:t xml:space="preserve">Systemmodell der Wirkungsökonomie: </w:t>
      </w:r>
      <w:r>
        <w:t>Natalie Weber, 2025, Finanzsystem &amp; Kapital / Gesellschaft &amp; Soziales</w:t>
      </w:r>
    </w:p>
    <w:p>
      <w:pPr>
        <w:pStyle w:val="ListBullet"/>
      </w:pPr>
      <w:r>
        <w:rPr>
          <w:b/>
        </w:rPr>
        <w:t xml:space="preserve">Führender Begriffsleitfaden: </w:t>
      </w:r>
      <w:r>
        <w:t>Wirkung ist neutral und relational, SDGs/Agenda2030/SDG+ als Referenzrahmen</w:t>
      </w:r>
    </w:p>
    <w:p>
      <w:pPr>
        <w:pStyle w:val="ListBullet"/>
      </w:pPr>
      <w:r>
        <w:rPr>
          <w:b/>
        </w:rPr>
        <w:t xml:space="preserve">BMAS Rentenversicherungsbericht 2025: </w:t>
      </w:r>
      <w:hyperlink r:id="rId11">
        <w:r>
          <w:rPr>
            <w:color w:val="2B7D5C"/>
            <w:u w:val="single"/>
          </w:rPr>
          <w:t>https://www.bmas.de/DE/Service/Presse/Pressemitteilungen/2025/bundeskabinett-beschliesst-rentenversicherungsbericht-2025.html</w:t>
        </w:r>
      </w:hyperlink>
    </w:p>
    <w:p>
      <w:pPr>
        <w:pStyle w:val="ListBullet"/>
      </w:pPr>
      <w:r>
        <w:rPr>
          <w:b/>
        </w:rPr>
        <w:t xml:space="preserve">Destatis Babyboomer und Erwerbspersonen 2025: </w:t>
      </w:r>
      <w:hyperlink r:id="rId12">
        <w:r>
          <w:rPr>
            <w:color w:val="2B7D5C"/>
            <w:u w:val="single"/>
          </w:rPr>
          <w:t>https://www.destatis.de/DE/Presse/Pressemitteilungen/2025/08/PD25_N048_13.html</w:t>
        </w:r>
      </w:hyperlink>
    </w:p>
    <w:p>
      <w:pPr>
        <w:pStyle w:val="ListBullet"/>
      </w:pPr>
      <w:r>
        <w:rPr>
          <w:b/>
        </w:rPr>
        <w:t xml:space="preserve">Destatis Altenquotient 2025: </w:t>
      </w:r>
      <w:hyperlink r:id="rId13">
        <w:r>
          <w:rPr>
            <w:color w:val="2B7D5C"/>
            <w:u w:val="single"/>
          </w:rPr>
          <w:t>https://www.destatis.de/DE/Themen/Querschnitt/Demografischer-Wandel/Aspekte/demografie-altenquotient.html</w:t>
        </w:r>
      </w:hyperlink>
    </w:p>
    <w:p>
      <w:pPr>
        <w:pStyle w:val="ListBullet"/>
      </w:pPr>
      <w:r>
        <w:rPr>
          <w:b/>
        </w:rPr>
        <w:t xml:space="preserve">Deutsche Rentenversicherung in Zahlen 2025: </w:t>
      </w:r>
      <w:hyperlink r:id="rId14">
        <w:r>
          <w:rPr>
            <w:color w:val="2B7D5C"/>
            <w:u w:val="single"/>
          </w:rPr>
          <w:t>https://www.deutsche-rentenversicherung.de/SharedDocs/Downloads/DE/Statistiken-und-Berichte/statistikpublikationen/rv_in_zahlen.pdf</w:t>
        </w:r>
      </w:hyperlink>
    </w:p>
    <w:p>
      <w:pPr>
        <w:pStyle w:val="ListBullet"/>
      </w:pPr>
      <w:r>
        <w:rPr>
          <w:b/>
        </w:rPr>
        <w:t xml:space="preserve">OECD Pensions at a Glance 2025: Germany: </w:t>
      </w:r>
      <w:hyperlink r:id="rId15">
        <w:r>
          <w:rPr>
            <w:color w:val="2B7D5C"/>
            <w:u w:val="single"/>
          </w:rPr>
          <w:t>https://www.oecd.org/en/publications/pensions-at-a-glance-2025-country-notes_8a53ef12-en/germany_c480c8fa-en.html</w:t>
        </w:r>
      </w:hyperlink>
    </w:p>
    <w:sectPr w:rsidR="00FC693F" w:rsidRPr="0006063C" w:rsidSect="00034616">
      <w:headerReference w:type="default" r:id="rId9"/>
      <w:footerReference w:type="default" r:id="rId10"/>
      <w:pgSz w:w="12240" w:h="15840"/>
      <w:pgMar w:top="964" w:right="1020" w:bottom="907" w:left="1020" w:header="397" w:footer="39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olor w:val="777777"/>
        <w:sz w:val="14"/>
      </w:rPr>
      <w:t>Natalie Weber · Wirkungsökonomie · Version v0.1 · Stand 24.05.2026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Arial" w:hAnsi="Arial"/>
        <w:b/>
        <w:color w:val="2B7D5C"/>
        <w:sz w:val="16"/>
      </w:rPr>
      <w:t>WIRKUNGSÖKONOMIE · Rente &amp; soziale Sicherung</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120"/>
    </w:pPr>
    <w:rPr>
      <w:rFonts w:ascii="Arial" w:hAnsi="Arial"/>
      <w:color w:val="242A2E"/>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Georgia" w:hAnsi="Georgia"/>
      <w:b/>
      <w:bCs/>
      <w:color w:val="0B132B"/>
      <w:sz w:val="4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Georgia" w:hAnsi="Georgia"/>
      <w:b/>
      <w:bCs/>
      <w:color w:val="0B132B"/>
      <w:sz w:val="30"/>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Georgia" w:hAnsi="Georgia"/>
      <w:b/>
      <w:bCs/>
      <w:color w:val="0B132B"/>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Georgia" w:hAnsi="Georgia"/>
      <w:color w:val="0B132B"/>
      <w:spacing w:val="5"/>
      <w:kern w:val="28"/>
      <w:sz w:val="5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yperlink" Target="https://www.bmas.de/DE/Service/Presse/Pressemitteilungen/2025/bundeskabinett-beschliesst-rentenversicherungsbericht-2025.html" TargetMode="External"/><Relationship Id="rId12" Type="http://schemas.openxmlformats.org/officeDocument/2006/relationships/hyperlink" Target="https://www.destatis.de/DE/Presse/Pressemitteilungen/2025/08/PD25_N048_13.html" TargetMode="External"/><Relationship Id="rId13" Type="http://schemas.openxmlformats.org/officeDocument/2006/relationships/hyperlink" Target="https://www.destatis.de/DE/Themen/Querschnitt/Demografischer-Wandel/Aspekte/demografie-altenquotient.html" TargetMode="External"/><Relationship Id="rId14" Type="http://schemas.openxmlformats.org/officeDocument/2006/relationships/hyperlink" Target="https://www.deutsche-rentenversicherung.de/SharedDocs/Downloads/DE/Statistiken-und-Berichte/statistikpublikationen/rv_in_zahlen.pdf" TargetMode="External"/><Relationship Id="rId15" Type="http://schemas.openxmlformats.org/officeDocument/2006/relationships/hyperlink" Target="https://www.oecd.org/en/publications/pensions-at-a-glance-2025-country-notes_8a53ef12-en/germany_c480c8fa-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