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drawing>
          <wp:inline xmlns:a="http://schemas.openxmlformats.org/drawingml/2006/main" xmlns:pic="http://schemas.openxmlformats.org/drawingml/2006/picture">
            <wp:extent cx="457200" cy="457200"/>
            <wp:docPr id="1" name="Picture 1"/>
            <wp:cNvGraphicFramePr>
              <a:graphicFrameLocks noChangeAspect="1"/>
            </wp:cNvGraphicFramePr>
            <a:graphic>
              <a:graphicData uri="http://schemas.openxmlformats.org/drawingml/2006/picture">
                <pic:pic>
                  <pic:nvPicPr>
                    <pic:cNvPr id="0" name="woek_brand_mark.png"/>
                    <pic:cNvPicPr/>
                  </pic:nvPicPr>
                  <pic:blipFill>
                    <a:blip r:embed="rId10"/>
                    <a:stretch>
                      <a:fillRect/>
                    </a:stretch>
                  </pic:blipFill>
                  <pic:spPr>
                    <a:xfrm>
                      <a:off x="0" y="0"/>
                      <a:ext cx="457200" cy="457200"/>
                    </a:xfrm>
                    <a:prstGeom prst="rect"/>
                  </pic:spPr>
                </pic:pic>
              </a:graphicData>
            </a:graphic>
          </wp:inline>
        </w:drawing>
      </w:r>
    </w:p>
    <w:p>
      <w:pPr>
        <w:jc w:val="left"/>
      </w:pPr>
      <w:r>
        <w:rPr>
          <w:rFonts w:ascii="Liberation Serif" w:hAnsi="Liberation Serif" w:eastAsia="Liberation Serif"/>
          <w:b/>
          <w:color w:val="0B1030"/>
          <w:sz w:val="30"/>
        </w:rPr>
        <w:t>WIRKUNGSÖKONOMIE</w:t>
      </w:r>
    </w:p>
    <w:p>
      <w:r>
        <w:rPr>
          <w:rFonts w:ascii="Liberation Sans" w:hAnsi="Liberation Sans" w:eastAsia="Liberation Sans"/>
          <w:b/>
          <w:caps/>
          <w:color w:val="2B7D5C"/>
          <w:sz w:val="18"/>
        </w:rPr>
        <w:t>DETAILKONZEPT-KOMPENDIUM</w:t>
      </w:r>
    </w:p>
    <w:p>
      <w:r>
        <w:rPr>
          <w:rFonts w:ascii="Liberation Serif" w:hAnsi="Liberation Serif" w:eastAsia="Liberation Serif"/>
          <w:b/>
          <w:color w:val="0B1030"/>
          <w:sz w:val="62"/>
        </w:rPr>
        <w:t>Staat, Recht &amp; Demokratie / WStG / Wirkungsrat</w:t>
      </w:r>
    </w:p>
    <w:p>
      <w:r>
        <w:rPr>
          <w:rFonts w:ascii="Liberation Serif" w:hAnsi="Liberation Serif" w:eastAsia="Liberation Serif"/>
          <w:b w:val="0"/>
          <w:color w:val="2B7D5C"/>
          <w:sz w:val="32"/>
        </w:rPr>
        <w:t>Umfassende Detailkonzepte zur staatlichen Wirkungsarchitektur und demokratischen Sicherung</w:t>
      </w:r>
    </w:p>
    <w:tbl>
      <w:tblPr>
        <w:tblW w:type="auto" w:w="0"/>
        <w:jc w:val="left"/>
        <w:tblLayout w:type="autofit"/>
        <w:tblLook w:firstColumn="1" w:firstRow="1" w:lastColumn="0" w:lastRow="0" w:noHBand="0" w:noVBand="1" w:val="04A0"/>
      </w:tblPr>
      <w:tblGrid>
        <w:gridCol w:w="5083"/>
        <w:gridCol w:w="5083"/>
      </w:tblGrid>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Autorin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Natalie Weber</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Referenz</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Wirkungsökonomie</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Version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v0.2</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Status</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nachgelieferte Korrekturfassung</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Stand</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24. Mai 2026</w:t>
            </w:r>
          </w:p>
        </w:tc>
      </w:tr>
    </w:tbl>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erif" w:hAnsi="Liberation Serif" w:eastAsia="Liberation Serif"/>
                <w:b/>
                <w:color w:val="0B1030"/>
                <w:sz w:val="26"/>
              </w:rPr>
              <w:t>Leitformel: Wirkung statt Kapital. Für Mensch, Planet und Demokratie.</w:t>
            </w:r>
          </w:p>
        </w:tc>
      </w:tr>
    </w:tbl>
    <w:p>
      <w:r>
        <w:br w:type="page"/>
      </w:r>
    </w:p>
    <w:p>
      <w:pPr>
        <w:pStyle w:val="Heading1"/>
      </w:pPr>
      <w:r>
        <w:t>Vorwort und Korrekturhinweis</w:t>
      </w:r>
    </w:p>
    <w:p>
      <w:pPr>
        <w:spacing w:after="120" w:line="259" w:lineRule="auto"/>
      </w:pPr>
      <w:r>
        <w:rPr>
          <w:rFonts w:ascii="Liberation Sans" w:hAnsi="Liberation Sans" w:eastAsia="Liberation Sans"/>
          <w:color w:val="2E2A2C"/>
          <w:sz w:val="21"/>
        </w:rPr>
        <w:t>Diese nachgelieferte Korrekturfassung ersetzt die bisher sehr kurzen Detailkonzept-Skizzen. Sie ist bewusst als ausführliches Detailkonzept-Kompendium aufgebaut. Jeder Unterbereich erhält eine fachliche Ausarbeitung mit Problem, Wirkungslogik, Systemarchitektur, Messlogik, politischer Anschlussfähigkeit, Risiken und Online-/Dossierbezug.</w:t>
      </w:r>
    </w:p>
    <w:p>
      <w:pPr>
        <w:spacing w:after="120" w:line="259" w:lineRule="auto"/>
      </w:pPr>
      <w:r>
        <w:rPr>
          <w:rFonts w:ascii="Liberation Sans" w:hAnsi="Liberation Sans" w:eastAsia="Liberation Sans"/>
          <w:color w:val="2E2A2C"/>
          <w:sz w:val="21"/>
        </w:rPr>
        <w:t>Die Inhalte sind öffentlich formuliert. Interne Umsetzungs- und Prozesshinweise wurden bewusst nicht aufgenommen. Öffentliche Dokumente erklären Fachinhalte, nicht Arbeitsabläufe.</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Öffentlicher Charakter</w:t>
              <w:br/>
            </w:r>
            <w:r>
              <w:rPr>
                <w:rFonts w:ascii="Liberation Sans" w:hAnsi="Liberation Sans" w:eastAsia="Liberation Sans"/>
                <w:color w:val="2E2A2C"/>
                <w:sz w:val="20"/>
              </w:rPr>
              <w:t>Dieses Dokument ist als fachliche Grundlage für Website, Online-Volltext, Download und Dossier geeignet. Es enthält keine internen technischen Arbeitsanweisungen.</w:t>
            </w:r>
          </w:p>
        </w:tc>
      </w:tr>
    </w:tbl>
    <w:p/>
    <w:p>
      <w:pPr>
        <w:pStyle w:val="Heading1"/>
      </w:pPr>
      <w:r>
        <w:t>Grundthese des Bereichs</w:t>
      </w:r>
    </w:p>
    <w:p>
      <w:pPr>
        <w:spacing w:after="120" w:line="259" w:lineRule="auto"/>
      </w:pPr>
      <w:r>
        <w:rPr>
          <w:rFonts w:ascii="Liberation Sans" w:hAnsi="Liberation Sans" w:eastAsia="Liberation Sans"/>
          <w:color w:val="2E2A2C"/>
          <w:sz w:val="21"/>
        </w:rPr>
        <w:t>Der Staat wird nicht als Machtapparat, sondern als Wirkungsarchitektur verstanden. Recht schafft Rückkopplungen, ohne demokratische Aushandlung zu ersetzen. Wirkung wird Rechtsprinzip, aber nicht Wahrheitsmonopol.</w:t>
      </w:r>
    </w:p>
    <w:p>
      <w:pPr>
        <w:spacing w:after="120" w:line="259" w:lineRule="auto"/>
      </w:pPr>
      <w:r>
        <w:rPr>
          <w:rFonts w:ascii="Liberation Sans" w:hAnsi="Liberation Sans" w:eastAsia="Liberation Sans"/>
          <w:color w:val="2E2A2C"/>
          <w:sz w:val="21"/>
        </w:rPr>
        <w:t>Buchanker: Kapitel 36-41 sowie Kapitel 28 und der SDG-/SDG+-Exkurs.</w:t>
      </w:r>
    </w:p>
    <w:p>
      <w:pPr>
        <w:pStyle w:val="Heading1"/>
      </w:pPr>
      <w:r>
        <w:t>Überblick der Unterbereiche</w:t>
      </w:r>
    </w:p>
    <w:tbl>
      <w:tblPr>
        <w:tblW w:type="auto" w:w="0"/>
        <w:jc w:val="center"/>
        <w:tblLook w:firstColumn="1" w:firstRow="1" w:lastColumn="0" w:lastRow="0" w:noHBand="0" w:noVBand="1" w:val="04A0"/>
      </w:tblPr>
      <w:tblGrid>
        <w:gridCol w:w="3389"/>
        <w:gridCol w:w="3389"/>
        <w:gridCol w:w="3389"/>
      </w:tblGrid>
      <w:tr>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Nr.</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Unterbereich</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Kurzfunktion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 als Rechtsprinzip</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Verfassungsbezug, Art. 20a, MPD-Rahmen, Grenzen technokratischer Steuerung.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2</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Wirkungssteuergesetz WStG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Rahmengesetz, Wirkung als Bemessungslogik, Haushaltsneutralität, Steuerarten.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3</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Wirkungsumsatzsteuer im Rechtsrahmen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WUStG, Produktwirkung, FinalScore, Vorsteuerlogik, Rechtsschutz.</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4</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Wirkungseinkommensteuer WEstG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Einkommen, Leistung, Wirkungskontext, Tätigkeits- und Kapitalwirkung.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5</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Wirkungshaushalt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Jeder Euro muss wirken, Wirkungsprüfung, Priorisierung, Vermeidung staatlicher Blindleistung.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6</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Wirkungsrat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Unabhängigkeit, Zusammensetzung, Benchmarks, Evaluation, Lobbyismus-Schutz.</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7</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Verwaltung und Rechtsschutz</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Verfahren, Einspruch, Transparenz, Verhältnismäßigkeit, Übergangslogik.</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8</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Politische Wirkungsprüfung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Parteipolitisch offen, Wirkungsfolgenabschätzung, Optionen und Diskurs.</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9</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Lobbyismus und Machtkonzentration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Schutz der Wirkungslogik vor Vereinnahmung, Transparenz und Korrektur.</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10</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Bürgerbeteiligung und Wirkungsdemokratie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Bürgerräte, Jugendräte, Teilhabe, öffentliche Wirkungsberichte.</w:t>
            </w:r>
          </w:p>
        </w:tc>
      </w:tr>
    </w:tbl>
    <w:p/>
    <w:p>
      <w:pPr>
        <w:pStyle w:val="Heading1"/>
      </w:pPr>
      <w:r>
        <w:t>Detailkonzepte</w:t>
      </w:r>
    </w:p>
    <w:p>
      <w:pPr>
        <w:pStyle w:val="Heading2"/>
      </w:pPr>
      <w:r>
        <w:t>Wirkung als Rechtsprinzip</w:t>
      </w:r>
    </w:p>
    <w:p>
      <w:pPr>
        <w:spacing w:after="120" w:line="259" w:lineRule="auto"/>
      </w:pPr>
      <w:r>
        <w:rPr>
          <w:rFonts w:ascii="Liberation Sans" w:hAnsi="Liberation Sans" w:eastAsia="Liberation Sans"/>
          <w:color w:val="2E2A2C"/>
          <w:sz w:val="21"/>
        </w:rPr>
        <w:t>Dieses Detailkonzept vertieft den Unterbereich „Wirkung als Rechtsprinzip“ innerhalb des Portals „Staat, Recht &amp; Demokratie / WStG / Wirkungsrat“. Verfassungsbezug, Art. 20a, MPD-Rahmen, Grenzen technokratischer Steuerung.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 als Rechtsprinzip“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 als Rechtsprinzip: Nicht die Aktivität allein zählt, sondern ihre positive Netto-Wirkung, ihre Risiken und ihre demokratisch überprüfbare Rückkopplung.</w:t>
            </w:r>
          </w:p>
        </w:tc>
      </w:tr>
    </w:tbl>
    <w:p/>
    <w:p>
      <w:pPr>
        <w:pStyle w:val="Heading2"/>
      </w:pPr>
      <w:r>
        <w:t>Wirkungssteuergesetz WStG</w:t>
      </w:r>
    </w:p>
    <w:p>
      <w:pPr>
        <w:spacing w:after="120" w:line="259" w:lineRule="auto"/>
      </w:pPr>
      <w:r>
        <w:rPr>
          <w:rFonts w:ascii="Liberation Sans" w:hAnsi="Liberation Sans" w:eastAsia="Liberation Sans"/>
          <w:color w:val="2E2A2C"/>
          <w:sz w:val="21"/>
        </w:rPr>
        <w:t>Dieses Detailkonzept vertieft den Unterbereich „Wirkungssteuergesetz WStG“ innerhalb des Portals „Staat, Recht &amp; Demokratie / WStG / Wirkungsrat“. Rahmengesetz, Wirkung als Bemessungslogik, Haushaltsneutralität, Steuerarten.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„Wirkungssteuergesetz WStG“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Wirkungssteuergesetz WStG: Nicht die Aktivität allein zählt, sondern ihre positive Netto-Wirkung, ihre Risiken und ihre demokratisch überprüfbare Rückkopplung.</w:t>
            </w:r>
          </w:p>
        </w:tc>
      </w:tr>
    </w:tbl>
    <w:p/>
    <w:p>
      <w:pPr>
        <w:pStyle w:val="Heading2"/>
      </w:pPr>
      <w:r>
        <w:t>Wirkungsumsatzsteuer im Rechtsrahmen</w:t>
      </w:r>
    </w:p>
    <w:p>
      <w:pPr>
        <w:spacing w:after="120" w:line="259" w:lineRule="auto"/>
      </w:pPr>
      <w:r>
        <w:rPr>
          <w:rFonts w:ascii="Liberation Sans" w:hAnsi="Liberation Sans" w:eastAsia="Liberation Sans"/>
          <w:color w:val="2E2A2C"/>
          <w:sz w:val="21"/>
        </w:rPr>
        <w:t>Dieses Detailkonzept vertieft den Unterbereich „Wirkungsumsatzsteuer im Rechtsrahmen“ innerhalb des Portals „Staat, Recht &amp; Demokratie / WStG / Wirkungsrat“. WUStG, Produktwirkung, FinalScore, Vorsteuerlogik, Rechtsschutz.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„Wirkungsumsatzsteuer im Rechtsrahmen“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Wirkungsumsatzsteuer im Rechtsrahmen: Nicht die Aktivität allein zählt, sondern ihre positive Netto-Wirkung, ihre Risiken und ihre demokratisch überprüfbare Rückkopplung.</w:t>
            </w:r>
          </w:p>
        </w:tc>
      </w:tr>
    </w:tbl>
    <w:p/>
    <w:p>
      <w:pPr>
        <w:pStyle w:val="Heading2"/>
      </w:pPr>
      <w:r>
        <w:t>Wirkungseinkommensteuer WEstG</w:t>
      </w:r>
    </w:p>
    <w:p>
      <w:pPr>
        <w:spacing w:after="120" w:line="259" w:lineRule="auto"/>
      </w:pPr>
      <w:r>
        <w:rPr>
          <w:rFonts w:ascii="Liberation Sans" w:hAnsi="Liberation Sans" w:eastAsia="Liberation Sans"/>
          <w:color w:val="2E2A2C"/>
          <w:sz w:val="21"/>
        </w:rPr>
        <w:t>Dieses Detailkonzept vertieft den Unterbereich „Wirkungseinkommensteuer WEstG“ innerhalb des Portals „Staat, Recht &amp; Demokratie / WStG / Wirkungsrat“. Einkommen, Leistung, Wirkungskontext, Tätigkeits- und Kapitalwirkung.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„Wirkungseinkommensteuer WEstG“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Wirkungseinkommensteuer WEstG: Nicht die Aktivität allein zählt, sondern ihre positive Netto-Wirkung, ihre Risiken und ihre demokratisch überprüfbare Rückkopplung.</w:t>
            </w:r>
          </w:p>
        </w:tc>
      </w:tr>
    </w:tbl>
    <w:p/>
    <w:p>
      <w:pPr>
        <w:pStyle w:val="Heading2"/>
      </w:pPr>
      <w:r>
        <w:t>Wirkungshaushalt</w:t>
      </w:r>
    </w:p>
    <w:p>
      <w:pPr>
        <w:spacing w:after="120" w:line="259" w:lineRule="auto"/>
      </w:pPr>
      <w:r>
        <w:rPr>
          <w:rFonts w:ascii="Liberation Sans" w:hAnsi="Liberation Sans" w:eastAsia="Liberation Sans"/>
          <w:color w:val="2E2A2C"/>
          <w:sz w:val="21"/>
        </w:rPr>
        <w:t>Dieses Detailkonzept vertieft den Unterbereich „Wirkungshaushalt“ innerhalb des Portals „Staat, Recht &amp; Demokratie / WStG / Wirkungsrat“. Jeder Euro muss wirken, Wirkungsprüfung, Priorisierung, Vermeidung staatlicher Blindleistung.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„Wirkungshaushalt“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Wirkungshaushalt: Nicht die Aktivität allein zählt, sondern ihre positive Netto-Wirkung, ihre Risiken und ihre demokratisch überprüfbare Rückkopplung.</w:t>
            </w:r>
          </w:p>
        </w:tc>
      </w:tr>
    </w:tbl>
    <w:p/>
    <w:p>
      <w:pPr>
        <w:pStyle w:val="Heading2"/>
      </w:pPr>
      <w:r>
        <w:t>Wirkungsrat</w:t>
      </w:r>
    </w:p>
    <w:p>
      <w:pPr>
        <w:spacing w:after="120" w:line="259" w:lineRule="auto"/>
      </w:pPr>
      <w:r>
        <w:rPr>
          <w:rFonts w:ascii="Liberation Sans" w:hAnsi="Liberation Sans" w:eastAsia="Liberation Sans"/>
          <w:color w:val="2E2A2C"/>
          <w:sz w:val="21"/>
        </w:rPr>
        <w:t>Dieses Detailkonzept vertieft den Unterbereich „Wirkungsrat“ innerhalb des Portals „Staat, Recht &amp; Demokratie / WStG / Wirkungsrat“. Unabhängigkeit, Zusammensetzung, Benchmarks, Evaluation, Lobbyismus-Schutz.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„Wirkungsrat“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Wirkungsrat: Nicht die Aktivität allein zählt, sondern ihre positive Netto-Wirkung, ihre Risiken und ihre demokratisch überprüfbare Rückkopplung.</w:t>
            </w:r>
          </w:p>
        </w:tc>
      </w:tr>
    </w:tbl>
    <w:p/>
    <w:p>
      <w:pPr>
        <w:pStyle w:val="Heading2"/>
      </w:pPr>
      <w:r>
        <w:t>Verwaltung und Rechtsschutz</w:t>
      </w:r>
    </w:p>
    <w:p>
      <w:pPr>
        <w:spacing w:after="120" w:line="259" w:lineRule="auto"/>
      </w:pPr>
      <w:r>
        <w:rPr>
          <w:rFonts w:ascii="Liberation Sans" w:hAnsi="Liberation Sans" w:eastAsia="Liberation Sans"/>
          <w:color w:val="2E2A2C"/>
          <w:sz w:val="21"/>
        </w:rPr>
        <w:t>Dieses Detailkonzept vertieft den Unterbereich „Verwaltung und Rechtsschutz“ innerhalb des Portals „Staat, Recht &amp; Demokratie / WStG / Wirkungsrat“. Verfahren, Einspruch, Transparenz, Verhältnismäßigkeit, Übergangslogik.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„Verwaltung und Rechtsschutz“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Verwaltung und Rechtsschutz: Nicht die Aktivität allein zählt, sondern ihre positive Netto-Wirkung, ihre Risiken und ihre demokratisch überprüfbare Rückkopplung.</w:t>
            </w:r>
          </w:p>
        </w:tc>
      </w:tr>
    </w:tbl>
    <w:p/>
    <w:p>
      <w:pPr>
        <w:pStyle w:val="Heading2"/>
      </w:pPr>
      <w:r>
        <w:t>Politische Wirkungsprüfung</w:t>
      </w:r>
    </w:p>
    <w:p>
      <w:pPr>
        <w:spacing w:after="120" w:line="259" w:lineRule="auto"/>
      </w:pPr>
      <w:r>
        <w:rPr>
          <w:rFonts w:ascii="Liberation Sans" w:hAnsi="Liberation Sans" w:eastAsia="Liberation Sans"/>
          <w:color w:val="2E2A2C"/>
          <w:sz w:val="21"/>
        </w:rPr>
        <w:t>Dieses Detailkonzept vertieft den Unterbereich „Politische Wirkungsprüfung“ innerhalb des Portals „Staat, Recht &amp; Demokratie / WStG / Wirkungsrat“. Parteipolitisch offen, Wirkungsfolgenabschätzung, Optionen und Diskurs.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„Politische Wirkungsprüfung“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Politische Wirkungsprüfung: Nicht die Aktivität allein zählt, sondern ihre positive Netto-Wirkung, ihre Risiken und ihre demokratisch überprüfbare Rückkopplung.</w:t>
            </w:r>
          </w:p>
        </w:tc>
      </w:tr>
    </w:tbl>
    <w:p/>
    <w:p>
      <w:pPr>
        <w:pStyle w:val="Heading2"/>
      </w:pPr>
      <w:r>
        <w:t>Lobbyismus und Machtkonzentration</w:t>
      </w:r>
    </w:p>
    <w:p>
      <w:pPr>
        <w:spacing w:after="120" w:line="259" w:lineRule="auto"/>
      </w:pPr>
      <w:r>
        <w:rPr>
          <w:rFonts w:ascii="Liberation Sans" w:hAnsi="Liberation Sans" w:eastAsia="Liberation Sans"/>
          <w:color w:val="2E2A2C"/>
          <w:sz w:val="21"/>
        </w:rPr>
        <w:t>Dieses Detailkonzept vertieft den Unterbereich „Lobbyismus und Machtkonzentration“ innerhalb des Portals „Staat, Recht &amp; Demokratie / WStG / Wirkungsrat“. Schutz der Wirkungslogik vor Vereinnahmung, Transparenz und Korrektur.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„Lobbyismus und Machtkonzentration“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Lobbyismus und Machtkonzentration: Nicht die Aktivität allein zählt, sondern ihre positive Netto-Wirkung, ihre Risiken und ihre demokratisch überprüfbare Rückkopplung.</w:t>
            </w:r>
          </w:p>
        </w:tc>
      </w:tr>
    </w:tbl>
    <w:p/>
    <w:p>
      <w:pPr>
        <w:pStyle w:val="Heading2"/>
      </w:pPr>
      <w:r>
        <w:t>Bürgerbeteiligung und Wirkungsdemokratie</w:t>
      </w:r>
    </w:p>
    <w:p>
      <w:pPr>
        <w:spacing w:after="120" w:line="259" w:lineRule="auto"/>
      </w:pPr>
      <w:r>
        <w:rPr>
          <w:rFonts w:ascii="Liberation Sans" w:hAnsi="Liberation Sans" w:eastAsia="Liberation Sans"/>
          <w:color w:val="2E2A2C"/>
          <w:sz w:val="21"/>
        </w:rPr>
        <w:t>Dieses Detailkonzept vertieft den Unterbereich „Bürgerbeteiligung und Wirkungsdemokratie“ innerhalb des Portals „Staat, Recht &amp; Demokratie / WStG / Wirkungsrat“. Bürgerräte, Jugendräte, Teilhabe, öffentliche Wirkungsberichte.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„Bürgerbeteiligung und Wirkungsdemokratie“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Bürgerbeteiligung und Wirkungsdemokratie: Nicht die Aktivität allein zählt, sondern ihre positive Netto-Wirkung, ihre Risiken und ihre demokratisch überprüfbare Rückkopplung.</w:t>
            </w:r>
          </w:p>
        </w:tc>
      </w:tr>
    </w:tbl>
    <w:p/>
    <w:p>
      <w:pPr>
        <w:pStyle w:val="Heading1"/>
      </w:pPr>
      <w:r>
        <w:t>Gemeinsame Veröffentlichungslogik</w:t>
      </w:r>
    </w:p>
    <w:p>
      <w:pPr>
        <w:spacing w:after="120" w:line="259" w:lineRule="auto"/>
      </w:pPr>
      <w:r>
        <w:rPr>
          <w:rFonts w:ascii="Liberation Sans" w:hAnsi="Liberation Sans" w:eastAsia="Liberation Sans"/>
          <w:color w:val="2E2A2C"/>
          <w:sz w:val="21"/>
        </w:rPr>
        <w:t>Jeder Unterbereich wird auf der Website als vollständige Online-Fassung veröffentlicht. Das Detailkonzept bildet die fachliche Grundlage, das Einzeldossier ergänzt Beispiele, Berechnungen, Datenquellen und Umsetzungsvarianten. Downloads sind Export und Archiv, nicht der Hauptzugang.</w:t>
      </w:r>
    </w:p>
    <w:p>
      <w:pPr>
        <w:pStyle w:val="Heading1"/>
      </w:pPr>
      <w:r>
        <w:t>Quellen- und Referenzrahmen</w:t>
      </w:r>
    </w:p>
    <w:p>
      <w:pPr>
        <w:pStyle w:val="ListBullet"/>
        <w:spacing w:after="60"/>
      </w:pPr>
      <w:r>
        <w:rPr>
          <w:rFonts w:ascii="Liberation Sans" w:hAnsi="Liberation Sans" w:eastAsia="Liberation Sans"/>
          <w:color w:val="2E2A2C"/>
          <w:sz w:val="20"/>
        </w:rPr>
        <w:t>Natalie Weber: Die neue Ordnung des Wohlstands - aktuelles Buch und Buchanker.</w:t>
      </w:r>
    </w:p>
    <w:p>
      <w:pPr>
        <w:pStyle w:val="ListBullet"/>
        <w:spacing w:after="60"/>
      </w:pPr>
      <w:r>
        <w:rPr>
          <w:rFonts w:ascii="Liberation Sans" w:hAnsi="Liberation Sans" w:eastAsia="Liberation Sans"/>
          <w:color w:val="2E2A2C"/>
          <w:sz w:val="20"/>
        </w:rPr>
        <w:t>Führender Begriffsleitfaden der Wirkungsökonomie, Version 1.0.</w:t>
      </w:r>
    </w:p>
    <w:p>
      <w:pPr>
        <w:pStyle w:val="ListBullet"/>
        <w:spacing w:after="60"/>
      </w:pPr>
      <w:r>
        <w:rPr>
          <w:rFonts w:ascii="Liberation Sans" w:hAnsi="Liberation Sans" w:eastAsia="Liberation Sans"/>
          <w:color w:val="2E2A2C"/>
          <w:sz w:val="20"/>
        </w:rPr>
        <w:t>Systemmodell der Wirkungsökonomie.</w:t>
      </w:r>
    </w:p>
    <w:p>
      <w:pPr>
        <w:pStyle w:val="ListBullet"/>
        <w:spacing w:after="60"/>
      </w:pPr>
      <w:r>
        <w:rPr>
          <w:rFonts w:ascii="Liberation Sans" w:hAnsi="Liberation Sans" w:eastAsia="Liberation Sans"/>
          <w:color w:val="2E2A2C"/>
          <w:sz w:val="20"/>
        </w:rPr>
        <w:t>Je nach Bereich: Produktpapier, T-SROI-Whitepaper, WStG, Wirkungsrat-Konzept, Wohnungsmarkt-Working-Paper, Lieferkettenpapier, WUStG-Leitlinien.</w:t>
      </w:r>
    </w:p>
    <w:p>
      <w:pPr>
        <w:pStyle w:val="ListBullet"/>
        <w:spacing w:after="60"/>
      </w:pPr>
      <w:r>
        <w:rPr>
          <w:rFonts w:ascii="Liberation Sans" w:hAnsi="Liberation Sans" w:eastAsia="Liberation Sans"/>
          <w:color w:val="2E2A2C"/>
          <w:sz w:val="20"/>
        </w:rPr>
        <w:t>Externe Anschlussquellen: UN-SDGs, UN-Indikatoren, CSRD/ESRS, EFRAG, GRI, Eurostat, Destatis, EU-Taxonomie, OECD-Leitlinien, soweit fachlich relevant.</w:t>
      </w:r>
    </w:p>
    <w:sectPr w:rsidR="00FC693F" w:rsidRPr="0006063C" w:rsidSect="00034616">
      <w:footerReference w:type="default" r:id="rId9"/>
      <w:pgSz w:w="12240" w:h="15840"/>
      <w:pgMar w:top="1037"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eastAsia="Liberation Sans"/>
        <w:color w:val="777777"/>
        <w:sz w:val="16"/>
      </w:rPr>
      <w:t>Wirkungsökonomie - Natalie Weber - öffentliche Arbeitsfassung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eastAsia="Liberation Sans"/>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erif" w:hAnsi="Liberation Serif" w:eastAsia="Liberation Serif"/>
      <w:b/>
      <w:bCs/>
      <w:color w:val="0B10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erif" w:hAnsi="Liberation Serif" w:eastAsia="Liberation Serif"/>
      <w:b/>
      <w:bCs/>
      <w:color w:val="0B10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Liberation Sans" w:hAnsi="Liberation Sans" w:eastAsia="Liberation Sans"/>
      <w:b/>
      <w:bCs/>
      <w:color w:val="2B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erif" w:hAnsi="Liberation Serif" w:eastAsia="Liberation Serif"/>
      <w:b/>
      <w:color w:val="0B103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woek_staat_recht_demokratie_detailkonzepte_umfangreich_v0_2</dc:title>
  <dc:subject>Wirkungsökonomie</dc:subject>
  <dc:creator>Natalie Weber</dc:creator>
  <cp:keywords>Wirkungsökonomie, Natalie Weber, Wirkung statt Kapital, Mensch Planet Demokratie</cp:keywords>
  <dc:description>generated by python-docx</dc:description>
  <cp:lastModifiedBy/>
  <cp:revision>1</cp:revision>
  <dcterms:created xsi:type="dcterms:W3CDTF">2013-12-23T23:15:00Z</dcterms:created>
  <dcterms:modified xsi:type="dcterms:W3CDTF">2013-12-23T23:15:00Z</dcterms:modified>
  <cp:category/>
</cp:coreProperties>
</file>