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ource Serif Pro" w:hAnsi="Source Serif Pro"/>
          <w:b/>
          <w:color w:val="001D30"/>
          <w:sz w:val="48"/>
        </w:rPr>
        <w:t>WIRKUNGSÖKONOMIE</w:t>
      </w:r>
    </w:p>
    <w:p>
      <w:pPr>
        <w:jc w:val="center"/>
      </w:pPr>
      <w:r>
        <w:rPr>
          <w:color w:val="2E7D5C"/>
          <w:sz w:val="20"/>
        </w:rPr>
        <w:t>Wirkung statt Kapital. Für Mensch, Planet und Demokratie.</w:t>
      </w:r>
    </w:p>
    <w:p>
      <w:pPr>
        <w:jc w:val="center"/>
      </w:pPr>
      <w:r>
        <w:rPr>
          <w:rFonts w:ascii="Source Serif Pro" w:hAnsi="Source Serif Pro"/>
          <w:b/>
          <w:color w:val="001D30"/>
          <w:sz w:val="48"/>
        </w:rPr>
        <w:t>Staat, Recht &amp; Demokratie</w:t>
      </w:r>
    </w:p>
    <w:p>
      <w:pPr>
        <w:jc w:val="center"/>
      </w:pPr>
      <w:r>
        <w:rPr>
          <w:color w:val="252A3C"/>
          <w:sz w:val="26"/>
        </w:rPr>
        <w:t>Gesamtdossier: politische Anforderungen, Gesetzesarchitektur, Wirkungsrat, Wirkungshaushalt und Umsetzungspfade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Dokumenttyp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Gesamtdossier</w:t>
            </w:r>
          </w:p>
        </w:tc>
      </w:tr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Autorin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Natalie Weber</w:t>
            </w:r>
          </w:p>
        </w:tc>
      </w:tr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Referenz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Wirkungsökonomie</w:t>
            </w:r>
          </w:p>
        </w:tc>
      </w:tr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Version / Status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v0.1 / Diskussionsfassung</w:t>
            </w:r>
          </w:p>
        </w:tc>
      </w:tr>
      <w:tr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  <w:shd w:fill="F6F1E8"/>
          </w:tcPr>
          <w:p>
            <w:r>
              <w:rPr>
                <w:b/>
                <w:color w:val="001D30"/>
              </w:rPr>
              <w:t>Stand</w:t>
            </w:r>
          </w:p>
        </w:tc>
        <w:tc>
          <w:tcPr>
            <w:tcW w:type="dxa" w:w="5100"/>
            <w:vAlign w:val="center"/>
            <w:tcBorders>
              <w:top w:val="single" w:sz="4" w:color="D8D0C4"/>
              <w:left w:val="single" w:sz="4" w:color="D8D0C4"/>
              <w:bottom w:val="single" w:sz="4" w:color="D8D0C4"/>
              <w:right w:val="single" w:sz="4" w:color="D8D0C4"/>
            </w:tcBorders>
          </w:tcPr>
          <w:p>
            <w:r>
              <w:t>24.05.2026</w:t>
            </w:r>
          </w:p>
        </w:tc>
      </w:tr>
    </w:tbl>
    <w:p>
      <w:pPr>
        <w:jc w:val="center"/>
      </w:pPr>
      <w:r>
        <w:rPr>
          <w:i/>
          <w:color w:val="666666"/>
          <w:sz w:val="18"/>
        </w:rPr>
        <w:t>Arbeitsfassung zur öffentlichen Online-Lesefassung, Dossier- und Portalarchitektur.</w:t>
      </w:r>
    </w:p>
    <w:p>
      <w:r>
        <w:br w:type="page"/>
      </w:r>
    </w:p>
    <w:p>
      <w:pPr>
        <w:pStyle w:val="Heading1"/>
        <w:pBdr>
          <w:bottom w:val="single" w:sz="12" w:color="2E7D5C"/>
        </w:pBdr>
      </w:pPr>
      <w:r>
        <w:t>Executive Summary</w:t>
      </w:r>
    </w:p>
    <w:p>
      <w:r>
        <w:t>Das Gesamtdossier übersetzt den Portalbereich Staat, Recht &amp; Demokratie in konkrete Umsetzungsmodule: LawReader, Wirkungssteuergesetz, Wirkungsrat, Wirkungshaushalt, politische Wirkungsprüfung, Rechtsschutz und Beteiligung. Es verbindet konzeptionelle Logik, politische Anforderungen, Beispiele und Tool-Spezifikationen.</w:t>
      </w:r>
    </w:p>
    <w:p>
      <w:pPr>
        <w:pStyle w:val="Heading1"/>
        <w:pBdr>
          <w:bottom w:val="single" w:sz="12" w:color="2E7D5C"/>
        </w:pBdr>
      </w:pPr>
      <w:r>
        <w:t>1. Das Problem: Recht sieht Wirkung oft zu spät</w:t>
      </w:r>
    </w:p>
    <w:p>
      <w:r>
        <w:t>Viele politische und rechtliche Instrumente reagieren erst, wenn Schäden eingetreten sind: Klimaschäden, Vertrauensverlust, Wohnungsnot, Lieferkettenrisiken, Desinformation oder Gesundheitsfolgen. Die Wirkungsökonomie macht diese Folgewirkungen früher sichtbar, ohne die Komplexität auf eine einzige Kennzahl zu reduzieren.</w:t>
      </w:r>
    </w:p>
    <w:p>
      <w:pPr>
        <w:pStyle w:val="Heading1"/>
        <w:pBdr>
          <w:bottom w:val="single" w:sz="12" w:color="2E7D5C"/>
        </w:pBdr>
      </w:pPr>
      <w:r>
        <w:t>2. Zielbild: Wirkungsstaat statt Reparaturstaat</w:t>
      </w:r>
    </w:p>
    <w:p>
      <w:r>
        <w:t>Der Wirkungsstaat finanziert, besteuert, reguliert und fördert nicht nur nach Zuständigkeiten oder historischen Routinen, sondern nach realer Zustandsveränderung. Er bleibt demokratisch, föderal und rechtsstaatlich. Er wird lernfähiger, weil Daten, Bürger:innenfeedback und Wirkungsberichte in Entscheidungen zurückfließen.</w:t>
      </w:r>
    </w:p>
    <w:p>
      <w:pPr>
        <w:pStyle w:val="Heading1"/>
        <w:pBdr>
          <w:bottom w:val="single" w:sz="12" w:color="2E7D5C"/>
        </w:pBdr>
      </w:pPr>
      <w:r>
        <w:t>3. Gesamtablauf einer wirkungsorientierten Gesetzgebung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shd w:fill="001D30"/>
          </w:tcPr>
          <w:p>
            <w:r>
              <w:rPr>
                <w:b/>
                <w:color w:val="FFFFFF"/>
                <w:sz w:val="17"/>
              </w:rPr>
              <w:t>Schritt</w:t>
            </w:r>
          </w:p>
        </w:tc>
        <w:tc>
          <w:tcPr>
            <w:tcW w:type="dxa" w:w="3400"/>
            <w:shd w:fill="001D30"/>
          </w:tcPr>
          <w:p>
            <w:r>
              <w:rPr>
                <w:b/>
                <w:color w:val="FFFFFF"/>
                <w:sz w:val="17"/>
              </w:rPr>
              <w:t>Frage</w:t>
            </w:r>
          </w:p>
        </w:tc>
        <w:tc>
          <w:tcPr>
            <w:tcW w:type="dxa" w:w="3400"/>
            <w:shd w:fill="001D30"/>
          </w:tcPr>
          <w:p>
            <w:r>
              <w:rPr>
                <w:b/>
                <w:color w:val="FFFFFF"/>
                <w:sz w:val="17"/>
              </w:rPr>
              <w:t>Output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1. Problemzustand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Welcher Zustand soll verändert werden?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Wirkungsproblem mit SDG-/SDG+-Bezug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2. Wirkungsziel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Welche positive Netto-Wirkung wird angestrebt?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Zielbild Mensch, Planet, Demokratie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3. Optionen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Welche politischen Wege sind möglich?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Optionenmatrix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4. Folgenabschätzung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Welche Erst-, Zweit- und Drittwirkungen sind erwartbar?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Wirkungsprüfung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5. Schutzplanken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Welche Grundrechte, Übergänge und Rechtsschutzwege sind nötig?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Rechtsstaatliches Umsetzungsdesign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6. Beschluss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Welche Variante wird demokratisch gewählt?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Gesetz, Haushalt, Programm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7. Evaluation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Was hat sich real verändert?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Wirkungsbericht / Nachsteuerung</w:t>
            </w:r>
          </w:p>
        </w:tc>
      </w:tr>
    </w:tbl>
    <w:p/>
    <w:p>
      <w:pPr>
        <w:pStyle w:val="Heading1"/>
        <w:pBdr>
          <w:bottom w:val="single" w:sz="12" w:color="2E7D5C"/>
        </w:pBdr>
      </w:pPr>
      <w:r>
        <w:t>4. Beispiel: WStG als Rahmengesetz</w:t>
      </w:r>
    </w:p>
    <w:p>
      <w:r>
        <w:t>Das WStG dient als Meta-Regelwerk über konkrete Teilgesetze. Es legt fest, dass Wirkung auf Mensch, Planet und Demokratie als Bemessungs- und Steuerungslogik steuerlich relevant wird. Es ersetzt nicht alle Einzelgesetze, sondern vernetzt Umsatz, Einkommen, Kapital, Gewinn und kommunale Wertschöpfung unter einer Wirkungslogik.</w:t>
      </w:r>
    </w:p>
    <w:p>
      <w:pPr>
        <w:pStyle w:val="Heading1"/>
        <w:pBdr>
          <w:bottom w:val="single" w:sz="12" w:color="2E7D5C"/>
        </w:pBdr>
      </w:pPr>
      <w:r>
        <w:t>5. Beispielhafte politische Varianten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shd w:fill="001D30"/>
          </w:tcPr>
          <w:p>
            <w:r>
              <w:rPr>
                <w:b/>
                <w:color w:val="FFFFFF"/>
                <w:sz w:val="17"/>
              </w:rPr>
              <w:t>Variante</w:t>
            </w:r>
          </w:p>
        </w:tc>
        <w:tc>
          <w:tcPr>
            <w:tcW w:type="dxa" w:w="3400"/>
            <w:shd w:fill="001D30"/>
          </w:tcPr>
          <w:p>
            <w:r>
              <w:rPr>
                <w:b/>
                <w:color w:val="FFFFFF"/>
                <w:sz w:val="17"/>
              </w:rPr>
              <w:t>Beschreibung</w:t>
            </w:r>
          </w:p>
        </w:tc>
        <w:tc>
          <w:tcPr>
            <w:tcW w:type="dxa" w:w="3400"/>
            <w:shd w:fill="001D30"/>
          </w:tcPr>
          <w:p>
            <w:r>
              <w:rPr>
                <w:b/>
                <w:color w:val="FFFFFF"/>
                <w:sz w:val="17"/>
              </w:rPr>
              <w:t>Politische Anschlussfähigkeit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Pilotmodell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Start in ausgewählten Produktgruppen, Kommunen oder öffentlichen Beschaffungen.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niedrige Einstiegshürde, innovationsfreundlich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Rahmengesetz plus Leitlinien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WStG stabil, technische Leitlinien lernend und konsultativ.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rechtsstaatlich und flexibel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Steuerbonus zuerst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Zunächst Entlastung positiver Wirkung ohne Malus.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anschlussfähig für vorsichtige Reformpfade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Haushaltsneutraler Bonus-Malus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Steueraufkommen bleibt stabil, Verteilung ändert sich.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fiskalisch anschlussfähig</w:t>
            </w:r>
          </w:p>
        </w:tc>
      </w:tr>
      <w:tr>
        <w:tc>
          <w:tcPr>
            <w:tcW w:type="dxa" w:w="3400"/>
            <w:shd w:fill="F6F1E8"/>
          </w:tcPr>
          <w:p>
            <w:r>
              <w:rPr>
                <w:sz w:val="17"/>
              </w:rPr>
              <w:t>Europäische Harmonisierung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Anschluss an CSRD, ESRS, EU-Taxonomie und DPP.</w:t>
            </w:r>
          </w:p>
        </w:tc>
        <w:tc>
          <w:tcPr>
            <w:tcW w:type="dxa" w:w="3400"/>
          </w:tcPr>
          <w:p>
            <w:r>
              <w:rPr>
                <w:sz w:val="17"/>
              </w:rPr>
              <w:t>Binnenmarkt-kompatibel</w:t>
            </w:r>
          </w:p>
        </w:tc>
      </w:tr>
    </w:tbl>
    <w:p/>
    <w:p>
      <w:pPr>
        <w:pStyle w:val="Heading1"/>
        <w:pBdr>
          <w:bottom w:val="single" w:sz="12" w:color="2E7D5C"/>
        </w:pBdr>
      </w:pPr>
      <w:r>
        <w:t>6. Beispielhafte Berechnungslogik Wirkungshaushalt</w:t>
      </w:r>
    </w:p>
    <w:p>
      <w:r>
        <w:t>Für öffentliche Mittel kann eine einfache Arbeitslogik genutzt werden: Maßnahmen werden nicht nur nach Kosten bewertet, sondern nach erwarteter Netto-Wirkung, Resilienzbeitrag, Zielgruppenwirkung und Korrekturfähigkeit. Die folgende Beispielmatrix ist modellhaft.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fill="001D30"/>
          </w:tcPr>
          <w:p>
            <w:r>
              <w:rPr>
                <w:b/>
                <w:color w:val="FFFFFF"/>
                <w:sz w:val="17"/>
              </w:rPr>
              <w:t>Maßnahme</w:t>
            </w:r>
          </w:p>
        </w:tc>
        <w:tc>
          <w:tcPr>
            <w:tcW w:type="dxa" w:w="1700"/>
            <w:shd w:fill="001D30"/>
          </w:tcPr>
          <w:p>
            <w:r>
              <w:rPr>
                <w:b/>
                <w:color w:val="FFFFFF"/>
                <w:sz w:val="17"/>
              </w:rPr>
              <w:t>Kosten</w:t>
            </w:r>
          </w:p>
        </w:tc>
        <w:tc>
          <w:tcPr>
            <w:tcW w:type="dxa" w:w="1700"/>
            <w:shd w:fill="001D30"/>
          </w:tcPr>
          <w:p>
            <w:r>
              <w:rPr>
                <w:b/>
                <w:color w:val="FFFFFF"/>
                <w:sz w:val="17"/>
              </w:rPr>
              <w:t>NWI</w:t>
            </w:r>
          </w:p>
        </w:tc>
        <w:tc>
          <w:tcPr>
            <w:tcW w:type="dxa" w:w="1700"/>
            <w:shd w:fill="001D30"/>
          </w:tcPr>
          <w:p>
            <w:r>
              <w:rPr>
                <w:b/>
                <w:color w:val="FFFFFF"/>
                <w:sz w:val="17"/>
              </w:rPr>
              <w:t>Resilienz</w:t>
            </w:r>
          </w:p>
        </w:tc>
        <w:tc>
          <w:tcPr>
            <w:tcW w:type="dxa" w:w="1700"/>
            <w:shd w:fill="001D30"/>
          </w:tcPr>
          <w:p>
            <w:r>
              <w:rPr>
                <w:b/>
                <w:color w:val="FFFFFF"/>
                <w:sz w:val="17"/>
              </w:rPr>
              <w:t>Umsetzungsrisiko</w:t>
            </w:r>
          </w:p>
        </w:tc>
        <w:tc>
          <w:tcPr>
            <w:tcW w:type="dxa" w:w="1700"/>
            <w:shd w:fill="001D30"/>
          </w:tcPr>
          <w:p>
            <w:r>
              <w:rPr>
                <w:b/>
                <w:color w:val="FFFFFF"/>
                <w:sz w:val="17"/>
              </w:rPr>
              <w:t>Politische Entscheidung</w:t>
            </w:r>
          </w:p>
        </w:tc>
      </w:tr>
      <w:tr>
        <w:tc>
          <w:tcPr>
            <w:tcW w:type="dxa" w:w="1700"/>
            <w:shd w:fill="F6F1E8"/>
          </w:tcPr>
          <w:p>
            <w:r>
              <w:rPr>
                <w:sz w:val="17"/>
              </w:rPr>
              <w:t>Präventionsprogramm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10 Mio. EUR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+2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hoch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mittel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priorisieren, wenn Zielgruppe erreicht wird</w:t>
            </w:r>
          </w:p>
        </w:tc>
      </w:tr>
      <w:tr>
        <w:tc>
          <w:tcPr>
            <w:tcW w:type="dxa" w:w="1700"/>
            <w:shd w:fill="F6F1E8"/>
          </w:tcPr>
          <w:p>
            <w:r>
              <w:rPr>
                <w:sz w:val="17"/>
              </w:rPr>
              <w:t>Reparaturmaßnahme nach Schaden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10 Mio. EUR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0 bis +1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niedrig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niedrig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notwendig, aber nicht als Zukunftsinvestition verwechseln</w:t>
            </w:r>
          </w:p>
        </w:tc>
      </w:tr>
      <w:tr>
        <w:tc>
          <w:tcPr>
            <w:tcW w:type="dxa" w:w="1700"/>
            <w:shd w:fill="F6F1E8"/>
          </w:tcPr>
          <w:p>
            <w:r>
              <w:rPr>
                <w:sz w:val="17"/>
              </w:rPr>
              <w:t>Dateninfrastruktur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10 Mio. EUR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+1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hoch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mittel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ermöglicht spätere Steuerung</w:t>
            </w:r>
          </w:p>
        </w:tc>
      </w:tr>
      <w:tr>
        <w:tc>
          <w:tcPr>
            <w:tcW w:type="dxa" w:w="1700"/>
            <w:shd w:fill="F6F1E8"/>
          </w:tcPr>
          <w:p>
            <w:r>
              <w:rPr>
                <w:sz w:val="17"/>
              </w:rPr>
              <w:t>Symbolprogramm ohne Wirkungsmessung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10 Mio. EUR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unklar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unklar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hoch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zurückstellen oder Prüfdesign verlangen</w:t>
            </w:r>
          </w:p>
        </w:tc>
      </w:tr>
    </w:tbl>
    <w:p/>
    <w:p>
      <w:pPr>
        <w:pStyle w:val="Heading1"/>
        <w:pBdr>
          <w:bottom w:val="single" w:sz="12" w:color="2E7D5C"/>
        </w:pBdr>
      </w:pPr>
      <w:r>
        <w:t>7. Politische Anforderungen je Unterbereich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001D30"/>
          </w:tcPr>
          <w:p>
            <w:r>
              <w:rPr>
                <w:b/>
                <w:color w:val="FFFFFF"/>
                <w:sz w:val="17"/>
              </w:rPr>
              <w:t>Unterbereich</w:t>
            </w:r>
          </w:p>
        </w:tc>
        <w:tc>
          <w:tcPr>
            <w:tcW w:type="dxa" w:w="5100"/>
            <w:shd w:fill="001D30"/>
          </w:tcPr>
          <w:p>
            <w:r>
              <w:rPr>
                <w:b/>
                <w:color w:val="FFFFFF"/>
                <w:sz w:val="17"/>
              </w:rPr>
              <w:t>Aufgabe der Politik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WStG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Rahmen, Zuständigkeit, Gesetzesbegründung, Verhältnismäßigkeit, Übergang, Rechtsschutz.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WUStG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Steuerklassen, Datenpflichten, Vorsteuerlogik, Kaufkraftschutz, KMU-Schutz, EU-Kompatibilität.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Wirkungsrat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Unabhängigkeit, Zusammensetzung, Finanzierung, Transparenz, Konsultation, Kontrolle.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Wirkungshaushalt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Haushaltsrecht, Wirkungsprüfung, Förderlogik, Evaluation, Vermeidung von Blindleistung.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Politische Wirkungsprüfung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Programme und Gesetze methodisch prüfen, ohne Parteien moralisch zu sortieren.</w:t>
            </w:r>
          </w:p>
        </w:tc>
      </w:tr>
      <w:tr>
        <w:tc>
          <w:tcPr>
            <w:tcW w:type="dxa" w:w="5100"/>
            <w:shd w:fill="F6F1E8"/>
          </w:tcPr>
          <w:p>
            <w:r>
              <w:rPr>
                <w:sz w:val="17"/>
              </w:rPr>
              <w:t>LawReader</w:t>
            </w:r>
          </w:p>
        </w:tc>
        <w:tc>
          <w:tcPr>
            <w:tcW w:type="dxa" w:w="5100"/>
          </w:tcPr>
          <w:p>
            <w:r>
              <w:rPr>
                <w:sz w:val="17"/>
              </w:rPr>
              <w:t>Gesetzestexte verständlich, online, barrierefrei und mit Kommentaren zugänglich machen.</w:t>
            </w:r>
          </w:p>
        </w:tc>
      </w:tr>
    </w:tbl>
    <w:p/>
    <w:p>
      <w:pPr>
        <w:pStyle w:val="Heading1"/>
        <w:pBdr>
          <w:bottom w:val="single" w:sz="12" w:color="2E7D5C"/>
        </w:pBdr>
      </w:pPr>
      <w:r>
        <w:t>8. Dossier- und Einzeldossier-Architektur</w:t>
      </w:r>
    </w:p>
    <w:p>
      <w:pPr>
        <w:pStyle w:val="ListBullet"/>
      </w:pPr>
      <w:r>
        <w:t>Gesamtdossier Staat, Recht &amp; Demokratie</w:t>
      </w:r>
    </w:p>
    <w:p>
      <w:pPr>
        <w:pStyle w:val="ListBullet"/>
      </w:pPr>
      <w:r>
        <w:t>Einzeldossier Wirkung als Rechtsprinzip</w:t>
      </w:r>
    </w:p>
    <w:p>
      <w:pPr>
        <w:pStyle w:val="ListBullet"/>
      </w:pPr>
      <w:r>
        <w:t>Einzeldossier Wirkungssteuergesetz WStG</w:t>
      </w:r>
    </w:p>
    <w:p>
      <w:pPr>
        <w:pStyle w:val="ListBullet"/>
      </w:pPr>
      <w:r>
        <w:t>Einzeldossier Wirkungsumsatzsteuer / Produktwirkungssteuer im Rechtsrahmen</w:t>
      </w:r>
    </w:p>
    <w:p>
      <w:pPr>
        <w:pStyle w:val="ListBullet"/>
      </w:pPr>
      <w:r>
        <w:t>Einzeldossier Wirkungseinkommensteuer WEstG</w:t>
      </w:r>
    </w:p>
    <w:p>
      <w:pPr>
        <w:pStyle w:val="ListBullet"/>
      </w:pPr>
      <w:r>
        <w:t>Einzeldossier Wirkungshaushalt</w:t>
      </w:r>
    </w:p>
    <w:p>
      <w:pPr>
        <w:pStyle w:val="ListBullet"/>
      </w:pPr>
      <w:r>
        <w:t>Einzeldossier Wirkungsrat</w:t>
      </w:r>
    </w:p>
    <w:p>
      <w:pPr>
        <w:pStyle w:val="ListBullet"/>
      </w:pPr>
      <w:r>
        <w:t>Einzeldossier Verwaltung, Rechtsschutz und Korrekturverfahren</w:t>
      </w:r>
    </w:p>
    <w:p>
      <w:pPr>
        <w:pStyle w:val="ListBullet"/>
      </w:pPr>
      <w:r>
        <w:t>Einzeldossier Politische Wirkungsprüfung</w:t>
      </w:r>
    </w:p>
    <w:p>
      <w:pPr>
        <w:pStyle w:val="ListBullet"/>
      </w:pPr>
      <w:r>
        <w:t>Einzeldossier Lobbyismus, Machtkonzentration und Schutz der Wirkungslogik</w:t>
      </w:r>
    </w:p>
    <w:p>
      <w:pPr>
        <w:pStyle w:val="Heading1"/>
        <w:pBdr>
          <w:bottom w:val="single" w:sz="12" w:color="2E7D5C"/>
        </w:pBdr>
      </w:pPr>
      <w:r>
        <w:t>9. Website-Umsetzung</w:t>
      </w:r>
    </w:p>
    <w:p>
      <w:r>
        <w:t>Alle Inhalte werden online vollständig lesbar. Downloads sind ergänzend. Paragrafen, Werkzeuge, SDGs, SDG+ und Buchanker werden verlinkt. Jeder Bereich erhält einen Druckbutton, einen Dossierblock und einen Abschnitt „Politische Anschlussfähigkeit und Umsetzungsoptionen“.</w:t>
      </w:r>
    </w:p>
    <w:p>
      <w:pPr>
        <w:pStyle w:val="Heading1"/>
        <w:pBdr>
          <w:bottom w:val="single" w:sz="12" w:color="2E7D5C"/>
        </w:pBdr>
      </w:pPr>
      <w:r>
        <w:t>Quellen und interne Referenzen</w:t>
      </w:r>
    </w:p>
    <w:p>
      <w:pPr>
        <w:pStyle w:val="ListBullet"/>
      </w:pPr>
      <w:r>
        <w:t>Weber, Natalie: Die neue Ordnung des Wohlstands. Arbeitsfassung 2026. Besonders: Kapitel 10–23, 28, 31–40, 61–66.</w:t>
      </w:r>
    </w:p>
    <w:p>
      <w:pPr>
        <w:pStyle w:val="ListBullet"/>
      </w:pPr>
      <w:r>
        <w:t>Weber, Natalie: Führender Begriffsleitfaden der Wirkungsökonomie, Version 1.0, 21. Mai 2026.</w:t>
      </w:r>
    </w:p>
    <w:p>
      <w:pPr>
        <w:pStyle w:val="ListBullet"/>
      </w:pPr>
      <w:r>
        <w:t>Weber, Natalie: Working-Paper Wirkungssteuergesetz (WStG), Stand 8.10.2025.</w:t>
      </w:r>
    </w:p>
    <w:p>
      <w:pPr>
        <w:pStyle w:val="ListBullet"/>
      </w:pPr>
      <w:r>
        <w:t>Weber, Natalie: Der Wirkungsrat – Institutionelle Verankerung der Wirkungsökonomie, September 2025.</w:t>
      </w:r>
    </w:p>
    <w:p>
      <w:pPr>
        <w:pStyle w:val="ListBullet"/>
      </w:pPr>
      <w:r>
        <w:t>Weber, Natalie: Technische Leitlinien zum Wirkungssteuergesetz (WUStG), Vollversion Extended, August 2025.</w:t>
      </w:r>
    </w:p>
    <w:p>
      <w:pPr>
        <w:pStyle w:val="ListBullet"/>
      </w:pPr>
      <w:r>
        <w:t>Weber, Natalie: Whitepaper T-SROI – Der neue Standard für Impact-Controlling in der Wirkungsökonomie, 2025.</w:t>
      </w:r>
    </w:p>
    <w:p>
      <w:pPr>
        <w:pStyle w:val="ListBullet"/>
      </w:pPr>
      <w:r>
        <w:t>Weber, Natalie: Die neue Ordnung des Wohlstands, Arbeitsfassung 2026, Kapitel 36–41 und 61–66.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6"/>
      </w:rPr>
      <w:t>© 2026 Natalie Weber · Wirkungsökonomie · Gesamtdossier · v0.1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Source Sans Pro" w:hAnsi="Source Sans Pro"/>
        <w:b/>
        <w:color w:val="2E7D5C"/>
        <w:sz w:val="16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ans Pro" w:hAnsi="Source Sans Pro" w:eastAsia="Source Sans Pro"/>
      <w:color w:val="252A3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Source Serif Pro" w:hAnsi="Source Serif Pro" w:eastAsia="Source Serif Pro"/>
      <w:b/>
      <w:bCs/>
      <w:color w:val="001D3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Source Serif Pro" w:hAnsi="Source Serif Pro" w:eastAsia="Source Serif Pro"/>
      <w:b/>
      <w:bCs/>
      <w:color w:val="001D3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Source Serif Pro" w:hAnsi="Source Serif Pro" w:eastAsia="Source Serif Pro"/>
      <w:b/>
      <w:bCs/>
      <w:color w:val="001D3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