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Source Serif Pro" w:hAnsi="Source Serif Pro"/>
          <w:b/>
          <w:color w:val="001D30"/>
          <w:sz w:val="48"/>
        </w:rPr>
        <w:t>WIRKUNGSÖKONOMIE</w:t>
      </w:r>
    </w:p>
    <w:p>
      <w:pPr>
        <w:jc w:val="center"/>
      </w:pPr>
      <w:r>
        <w:rPr>
          <w:color w:val="2E7D5C"/>
          <w:sz w:val="20"/>
        </w:rPr>
        <w:t>Wirkung statt Kapital. Für Mensch, Planet und Demokratie.</w:t>
      </w:r>
    </w:p>
    <w:p>
      <w:pPr>
        <w:jc w:val="center"/>
      </w:pPr>
      <w:r>
        <w:rPr>
          <w:rFonts w:ascii="Source Serif Pro" w:hAnsi="Source Serif Pro"/>
          <w:b/>
          <w:color w:val="001D30"/>
          <w:sz w:val="48"/>
        </w:rPr>
        <w:t>Staat, Recht &amp; Demokratie</w:t>
      </w:r>
    </w:p>
    <w:p>
      <w:pPr>
        <w:jc w:val="center"/>
      </w:pPr>
      <w:r>
        <w:rPr>
          <w:color w:val="252A3C"/>
          <w:sz w:val="26"/>
        </w:rPr>
        <w:t>Wirkung als Rechtsprinzip, Wirkungssteuergesetz, Wirkungsrat und demokratische Sicherung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vAlign w:val="center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shd w:fill="F6F1E8"/>
          </w:tcPr>
          <w:p>
            <w:r>
              <w:rPr>
                <w:b/>
                <w:color w:val="001D30"/>
              </w:rPr>
              <w:t>Dokumenttyp</w:t>
            </w:r>
          </w:p>
        </w:tc>
        <w:tc>
          <w:tcPr>
            <w:tcW w:type="dxa" w:w="5100"/>
            <w:vAlign w:val="center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</w:tcPr>
          <w:p>
            <w:r>
              <w:t>Konzeptpapier</w:t>
            </w:r>
          </w:p>
        </w:tc>
      </w:tr>
      <w:tr>
        <w:tc>
          <w:tcPr>
            <w:tcW w:type="dxa" w:w="5100"/>
            <w:vAlign w:val="center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shd w:fill="F6F1E8"/>
          </w:tcPr>
          <w:p>
            <w:r>
              <w:rPr>
                <w:b/>
                <w:color w:val="001D30"/>
              </w:rPr>
              <w:t>Autorin</w:t>
            </w:r>
          </w:p>
        </w:tc>
        <w:tc>
          <w:tcPr>
            <w:tcW w:type="dxa" w:w="5100"/>
            <w:vAlign w:val="center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</w:tcPr>
          <w:p>
            <w:r>
              <w:t>Natalie Weber</w:t>
            </w:r>
          </w:p>
        </w:tc>
      </w:tr>
      <w:tr>
        <w:tc>
          <w:tcPr>
            <w:tcW w:type="dxa" w:w="5100"/>
            <w:vAlign w:val="center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shd w:fill="F6F1E8"/>
          </w:tcPr>
          <w:p>
            <w:r>
              <w:rPr>
                <w:b/>
                <w:color w:val="001D30"/>
              </w:rPr>
              <w:t>Referenz</w:t>
            </w:r>
          </w:p>
        </w:tc>
        <w:tc>
          <w:tcPr>
            <w:tcW w:type="dxa" w:w="5100"/>
            <w:vAlign w:val="center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</w:tcPr>
          <w:p>
            <w:r>
              <w:t>Wirkungsökonomie</w:t>
            </w:r>
          </w:p>
        </w:tc>
      </w:tr>
      <w:tr>
        <w:tc>
          <w:tcPr>
            <w:tcW w:type="dxa" w:w="5100"/>
            <w:vAlign w:val="center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shd w:fill="F6F1E8"/>
          </w:tcPr>
          <w:p>
            <w:r>
              <w:rPr>
                <w:b/>
                <w:color w:val="001D30"/>
              </w:rPr>
              <w:t>Version / Status</w:t>
            </w:r>
          </w:p>
        </w:tc>
        <w:tc>
          <w:tcPr>
            <w:tcW w:type="dxa" w:w="5100"/>
            <w:vAlign w:val="center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</w:tcPr>
          <w:p>
            <w:r>
              <w:t>v0.1 / Diskussionsfassung</w:t>
            </w:r>
          </w:p>
        </w:tc>
      </w:tr>
      <w:tr>
        <w:tc>
          <w:tcPr>
            <w:tcW w:type="dxa" w:w="5100"/>
            <w:vAlign w:val="center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shd w:fill="F6F1E8"/>
          </w:tcPr>
          <w:p>
            <w:r>
              <w:rPr>
                <w:b/>
                <w:color w:val="001D30"/>
              </w:rPr>
              <w:t>Stand</w:t>
            </w:r>
          </w:p>
        </w:tc>
        <w:tc>
          <w:tcPr>
            <w:tcW w:type="dxa" w:w="5100"/>
            <w:vAlign w:val="center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</w:tcPr>
          <w:p>
            <w:r>
              <w:t>24.05.2026</w:t>
            </w:r>
          </w:p>
        </w:tc>
      </w:tr>
    </w:tbl>
    <w:p>
      <w:pPr>
        <w:jc w:val="center"/>
      </w:pPr>
      <w:r>
        <w:rPr>
          <w:i/>
          <w:color w:val="666666"/>
          <w:sz w:val="18"/>
        </w:rPr>
        <w:t>Arbeitsfassung zur öffentlichen Online-Lesefassung, Dossier- und Portalarchitektur.</w:t>
      </w:r>
    </w:p>
    <w:p>
      <w:r>
        <w:br w:type="page"/>
      </w:r>
    </w:p>
    <w:p>
      <w:pPr>
        <w:pStyle w:val="Heading1"/>
        <w:pBdr>
          <w:bottom w:val="single" w:sz="12" w:color="2E7D5C"/>
        </w:pBdr>
      </w:pPr>
      <w:r>
        <w:t>Executive Summary</w:t>
      </w:r>
    </w:p>
    <w:p>
      <w:r>
        <w:t>Dieses Konzeptpapier ordnet den Bereich Staat, Recht &amp; Demokratie als dritten großen Portalbereich der Wirkungsökonomie. Es beschreibt, wie Wirkung rechtsförmig wird, ohne Demokratie, Grundrechte und politischen Diskurs durch Daten oder Scores zu ersetzen.</w:t>
      </w:r>
    </w:p>
    <w:p>
      <w:r>
        <w:t>Der Staat wird in der Wirkungsökonomie nicht als zentraler Planer verstanden, sondern als Rückkopplungsarchitekt: Er schafft Regeln, Verfahren, Institutionen und Haushaltslogiken, die positive Netto-Wirkung für Mensch, Planet und Demokratie wahrscheinlicher machen und destruktive Wirkung erschweren.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fill="F6F1E8"/>
            <w:tcBorders>
              <w:top w:val="single" w:sz="6" w:color="2E7D5C"/>
              <w:left w:val="single" w:sz="6" w:color="2E7D5C"/>
              <w:bottom w:val="single" w:sz="6" w:color="2E7D5C"/>
              <w:right w:val="single" w:sz="6" w:color="2E7D5C"/>
            </w:tcBorders>
          </w:tcPr>
          <w:p>
            <w:r>
              <w:rPr>
                <w:b/>
                <w:color w:val="001D30"/>
                <w:sz w:val="22"/>
              </w:rPr>
              <w:t>Kernthese</w:t>
            </w:r>
          </w:p>
          <w:p>
            <w:pPr>
              <w:spacing w:after="80"/>
            </w:pPr>
            <w:r>
              <w:t>Wirkung als Rechtsprinzip bedeutet nicht automatische Steuerung. Es bedeutet rechtsstaatlich gebundene Rückkopplung: reale Folgen werden sichtbar, prüfbar, begründbar, anfechtbar und politisch korrigierbar.</w:t>
            </w:r>
          </w:p>
        </w:tc>
      </w:tr>
    </w:tbl>
    <w:p/>
    <w:p>
      <w:pPr>
        <w:pStyle w:val="Heading1"/>
        <w:pBdr>
          <w:bottom w:val="single" w:sz="12" w:color="2E7D5C"/>
        </w:pBdr>
      </w:pPr>
      <w:r>
        <w:t>1. Ausgangslage: Der Staat misst zu selten Wirkung</w:t>
      </w:r>
    </w:p>
    <w:p>
      <w:r>
        <w:t>Das klassische Recht ordnet Handlungen, Zuständigkeiten, Verträge, Einkommen, Besitz, Haftung und Verfahren. Reale Wirkung erscheint häufig erst spät: als Schaden, Gefährdung, Haftung, Berichtspflicht oder Förderbedingung. Dadurch entsteht ein Steuerungsdefizit: Der Staat reagiert auf Schäden, statt die Wirkungslogik seiner Regeln systematisch zu gestalten.</w:t>
      </w:r>
    </w:p>
    <w:p>
      <w:r>
        <w:t>Die Wirkungsökonomie erweitert diese Ordnung um eine zusätzliche Frage: Welche Zustände verändert eine wirtschaftliche, staatliche oder gesellschaftliche Handlung – und wie kehren diese Veränderungen in Preise, Steuern, Haushalte, Aufsicht, Rechtsschutz und demokratische Entscheidungen zurück?</w:t>
      </w:r>
    </w:p>
    <w:p>
      <w:pPr>
        <w:pStyle w:val="Heading1"/>
        <w:pBdr>
          <w:bottom w:val="single" w:sz="12" w:color="2E7D5C"/>
        </w:pBdr>
      </w:pPr>
      <w:r>
        <w:t>2. Staat als Rückkopplungsarchitekt</w:t>
      </w:r>
    </w:p>
    <w:p>
      <w:pPr>
        <w:pStyle w:val="ListBullet"/>
      </w:pPr>
      <w:r>
        <w:t>Er setzt transparente Regeln, statt Einzelentscheidungen zentral zu planen.</w:t>
      </w:r>
    </w:p>
    <w:p>
      <w:pPr>
        <w:pStyle w:val="ListBullet"/>
      </w:pPr>
      <w:r>
        <w:t>Er macht Wirkung messbar und prüfbar, aber nicht absolut.</w:t>
      </w:r>
    </w:p>
    <w:p>
      <w:pPr>
        <w:pStyle w:val="ListBullet"/>
      </w:pPr>
      <w:r>
        <w:t>Er schützt Grundrechte, Rechtsschutz und Verhältnismäßigkeit.</w:t>
      </w:r>
    </w:p>
    <w:p>
      <w:pPr>
        <w:pStyle w:val="ListBullet"/>
      </w:pPr>
      <w:r>
        <w:t>Er schafft Institutionen wie Wirkungsrat, Wirkungshaushalt und Gesetzesreader.</w:t>
      </w:r>
    </w:p>
    <w:p>
      <w:pPr>
        <w:pStyle w:val="ListBullet"/>
      </w:pPr>
      <w:r>
        <w:t>Er ermöglicht demokratische Korrektur statt technokratischer Steuerung.</w:t>
      </w:r>
    </w:p>
    <w:p>
      <w:pPr>
        <w:pStyle w:val="Heading1"/>
        <w:pBdr>
          <w:bottom w:val="single" w:sz="12" w:color="2E7D5C"/>
        </w:pBdr>
      </w:pPr>
      <w:r>
        <w:t>3. Zentrale Bausteine des Portals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shd w:fill="001D30"/>
          </w:tcPr>
          <w:p>
            <w:r>
              <w:rPr>
                <w:b/>
                <w:color w:val="FFFFFF"/>
                <w:sz w:val="17"/>
              </w:rPr>
              <w:t>Baustein</w:t>
            </w:r>
          </w:p>
        </w:tc>
        <w:tc>
          <w:tcPr>
            <w:tcW w:type="dxa" w:w="5100"/>
            <w:shd w:fill="001D30"/>
          </w:tcPr>
          <w:p>
            <w:r>
              <w:rPr>
                <w:b/>
                <w:color w:val="FFFFFF"/>
                <w:sz w:val="17"/>
              </w:rPr>
              <w:t>Funktion</w:t>
            </w:r>
          </w:p>
        </w:tc>
      </w:tr>
      <w:tr>
        <w:tc>
          <w:tcPr>
            <w:tcW w:type="dxa" w:w="5100"/>
            <w:shd w:fill="F6F1E8"/>
          </w:tcPr>
          <w:p>
            <w:r>
              <w:rPr>
                <w:sz w:val="17"/>
              </w:rPr>
              <w:t>Wirkung als Rechtsprinzip</w:t>
            </w:r>
          </w:p>
        </w:tc>
        <w:tc>
          <w:tcPr>
            <w:tcW w:type="dxa" w:w="5100"/>
          </w:tcPr>
          <w:p>
            <w:r>
              <w:rPr>
                <w:sz w:val="17"/>
              </w:rPr>
              <w:t>Reale Zustandsveränderung wird rechtlich relevant, ohne Recht durch Folgenkalkül zu ersetzen.</w:t>
            </w:r>
          </w:p>
        </w:tc>
      </w:tr>
      <w:tr>
        <w:tc>
          <w:tcPr>
            <w:tcW w:type="dxa" w:w="5100"/>
            <w:shd w:fill="F6F1E8"/>
          </w:tcPr>
          <w:p>
            <w:r>
              <w:rPr>
                <w:sz w:val="17"/>
              </w:rPr>
              <w:t>Wirkungssteuergesetz WStG</w:t>
            </w:r>
          </w:p>
        </w:tc>
        <w:tc>
          <w:tcPr>
            <w:tcW w:type="dxa" w:w="5100"/>
          </w:tcPr>
          <w:p>
            <w:r>
              <w:rPr>
                <w:sz w:val="17"/>
              </w:rPr>
              <w:t>Rahmengesetz, das Wirkung als steuerliche Bemessungs- und Steuerungslogik verankert.</w:t>
            </w:r>
          </w:p>
        </w:tc>
      </w:tr>
      <w:tr>
        <w:tc>
          <w:tcPr>
            <w:tcW w:type="dxa" w:w="5100"/>
            <w:shd w:fill="F6F1E8"/>
          </w:tcPr>
          <w:p>
            <w:r>
              <w:rPr>
                <w:sz w:val="17"/>
              </w:rPr>
              <w:t>WUStG / Produktwirkungssteuer</w:t>
            </w:r>
          </w:p>
        </w:tc>
        <w:tc>
          <w:tcPr>
            <w:tcW w:type="dxa" w:w="5100"/>
          </w:tcPr>
          <w:p>
            <w:r>
              <w:rPr>
                <w:sz w:val="17"/>
              </w:rPr>
              <w:t>Anwendung auf Produkte, Konsum, Lieferketten und Vorsteuerlogik.</w:t>
            </w:r>
          </w:p>
        </w:tc>
      </w:tr>
      <w:tr>
        <w:tc>
          <w:tcPr>
            <w:tcW w:type="dxa" w:w="5100"/>
            <w:shd w:fill="F6F1E8"/>
          </w:tcPr>
          <w:p>
            <w:r>
              <w:rPr>
                <w:sz w:val="17"/>
              </w:rPr>
              <w:t>WEstG / Wirkungseinkommensteuer</w:t>
            </w:r>
          </w:p>
        </w:tc>
        <w:tc>
          <w:tcPr>
            <w:tcW w:type="dxa" w:w="5100"/>
          </w:tcPr>
          <w:p>
            <w:r>
              <w:rPr>
                <w:sz w:val="17"/>
              </w:rPr>
              <w:t>Anwendung auf Einkommen, Tätigkeitskontext und Wirkung von Erwerb.</w:t>
            </w:r>
          </w:p>
        </w:tc>
      </w:tr>
      <w:tr>
        <w:tc>
          <w:tcPr>
            <w:tcW w:type="dxa" w:w="5100"/>
            <w:shd w:fill="F6F1E8"/>
          </w:tcPr>
          <w:p>
            <w:r>
              <w:rPr>
                <w:sz w:val="17"/>
              </w:rPr>
              <w:t>Wirkungshaushalt</w:t>
            </w:r>
          </w:p>
        </w:tc>
        <w:tc>
          <w:tcPr>
            <w:tcW w:type="dxa" w:w="5100"/>
          </w:tcPr>
          <w:p>
            <w:r>
              <w:rPr>
                <w:sz w:val="17"/>
              </w:rPr>
              <w:t>Öffentliche Mittel werden danach betrachtet, welche Zustände sie verbessern oder stabilisieren.</w:t>
            </w:r>
          </w:p>
        </w:tc>
      </w:tr>
      <w:tr>
        <w:tc>
          <w:tcPr>
            <w:tcW w:type="dxa" w:w="5100"/>
            <w:shd w:fill="F6F1E8"/>
          </w:tcPr>
          <w:p>
            <w:r>
              <w:rPr>
                <w:sz w:val="17"/>
              </w:rPr>
              <w:t>Wirkungsrat</w:t>
            </w:r>
          </w:p>
        </w:tc>
        <w:tc>
          <w:tcPr>
            <w:tcW w:type="dxa" w:w="5100"/>
          </w:tcPr>
          <w:p>
            <w:r>
              <w:rPr>
                <w:sz w:val="17"/>
              </w:rPr>
              <w:t>Unabhängige Institution zur Pflege von WÖk-IDs, Benchmarks, Evaluation und Missbrauchsschutz.</w:t>
            </w:r>
          </w:p>
        </w:tc>
      </w:tr>
      <w:tr>
        <w:tc>
          <w:tcPr>
            <w:tcW w:type="dxa" w:w="5100"/>
            <w:shd w:fill="F6F1E8"/>
          </w:tcPr>
          <w:p>
            <w:r>
              <w:rPr>
                <w:sz w:val="17"/>
              </w:rPr>
              <w:t>LawReader</w:t>
            </w:r>
          </w:p>
        </w:tc>
        <w:tc>
          <w:tcPr>
            <w:tcW w:type="dxa" w:w="5100"/>
          </w:tcPr>
          <w:p>
            <w:r>
              <w:rPr>
                <w:sz w:val="17"/>
              </w:rPr>
              <w:t>Online-Gesetzestexte mit Paragrafen, Kurzfassung, Kommentar, Begründung und direkten Verweisen.</w:t>
            </w:r>
          </w:p>
        </w:tc>
      </w:tr>
      <w:tr>
        <w:tc>
          <w:tcPr>
            <w:tcW w:type="dxa" w:w="5100"/>
            <w:shd w:fill="F6F1E8"/>
          </w:tcPr>
          <w:p>
            <w:r>
              <w:rPr>
                <w:sz w:val="17"/>
              </w:rPr>
              <w:t>Politische Wirkungsprüfung</w:t>
            </w:r>
          </w:p>
        </w:tc>
        <w:tc>
          <w:tcPr>
            <w:tcW w:type="dxa" w:w="5100"/>
          </w:tcPr>
          <w:p>
            <w:r>
              <w:rPr>
                <w:sz w:val="17"/>
              </w:rPr>
              <w:t>Methodik, um Programme, Gesetze und Haushalte wirkungsorientiert zu prüfen, ohne Parteipolitik zu betreiben.</w:t>
            </w:r>
          </w:p>
        </w:tc>
      </w:tr>
    </w:tbl>
    <w:p/>
    <w:p>
      <w:pPr>
        <w:pStyle w:val="Heading1"/>
        <w:pBdr>
          <w:bottom w:val="single" w:sz="12" w:color="2E7D5C"/>
        </w:pBdr>
      </w:pPr>
      <w:r>
        <w:t>4. Politische Anschlussfähigkeit</w:t>
      </w:r>
    </w:p>
    <w:p>
      <w:r>
        <w:t>Der Bereich Staat, Recht &amp; Demokratie muss besonders deutlich zeigen, dass die Wirkungsökonomie Demokratie nicht ersetzt. Unterschiedliche Parteien können innerhalb der Wirkungslogik verschiedene Wege wählen: stärkere Steuerung über Preise, stärkere Förderung, ordnungsrechtliche Standards, kommunale Budgets, europäische Harmonisierung, marktwirtschaftliche Wettbewerbsanreize oder öffentliche Beschaffung.</w:t>
      </w:r>
    </w:p>
    <w:p>
      <w:r>
        <w:t>Der gemeinsame Rahmen ist nicht die Einheitslösung, sondern die Pflicht zur Wirkungswahrheit: Maßnahmen sollen ihre Wirkungen auf Mensch, Planet und Demokratie offenlegen, Zielkonflikte benennen, Rechtsschutz sichern und lernfähig bleiben.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shd w:fill="001D30"/>
          </w:tcPr>
          <w:p>
            <w:r>
              <w:rPr>
                <w:b/>
                <w:color w:val="FFFFFF"/>
                <w:sz w:val="17"/>
              </w:rPr>
              <w:t>Politische Aufgabe</w:t>
            </w:r>
          </w:p>
        </w:tc>
        <w:tc>
          <w:tcPr>
            <w:tcW w:type="dxa" w:w="5100"/>
            <w:shd w:fill="001D30"/>
          </w:tcPr>
          <w:p>
            <w:r>
              <w:rPr>
                <w:b/>
                <w:color w:val="FFFFFF"/>
                <w:sz w:val="17"/>
              </w:rPr>
              <w:t>Möglicher Gestaltungsspielraum</w:t>
            </w:r>
          </w:p>
        </w:tc>
      </w:tr>
      <w:tr>
        <w:tc>
          <w:tcPr>
            <w:tcW w:type="dxa" w:w="5100"/>
            <w:shd w:fill="F6F1E8"/>
          </w:tcPr>
          <w:p>
            <w:r>
              <w:rPr>
                <w:sz w:val="17"/>
              </w:rPr>
              <w:t>WStG verankern</w:t>
            </w:r>
          </w:p>
        </w:tc>
        <w:tc>
          <w:tcPr>
            <w:tcW w:type="dxa" w:w="5100"/>
          </w:tcPr>
          <w:p>
            <w:r>
              <w:rPr>
                <w:sz w:val="17"/>
              </w:rPr>
              <w:t>Rahmengesetz, Pilotgesetz, Modellregion, Bundesgesetz oder EU-Initiative.</w:t>
            </w:r>
          </w:p>
        </w:tc>
      </w:tr>
      <w:tr>
        <w:tc>
          <w:tcPr>
            <w:tcW w:type="dxa" w:w="5100"/>
            <w:shd w:fill="F6F1E8"/>
          </w:tcPr>
          <w:p>
            <w:r>
              <w:rPr>
                <w:sz w:val="17"/>
              </w:rPr>
              <w:t>Wirkungsrat einrichten</w:t>
            </w:r>
          </w:p>
        </w:tc>
        <w:tc>
          <w:tcPr>
            <w:tcW w:type="dxa" w:w="5100"/>
          </w:tcPr>
          <w:p>
            <w:r>
              <w:rPr>
                <w:sz w:val="17"/>
              </w:rPr>
              <w:t>Parlamentarisch legitimiert, föderal eingebettet, wissenschaftlich-zivilgesellschaftlich oder mit Bürger:innen-Losverfahren.</w:t>
            </w:r>
          </w:p>
        </w:tc>
      </w:tr>
      <w:tr>
        <w:tc>
          <w:tcPr>
            <w:tcW w:type="dxa" w:w="5100"/>
            <w:shd w:fill="F6F1E8"/>
          </w:tcPr>
          <w:p>
            <w:r>
              <w:rPr>
                <w:sz w:val="17"/>
              </w:rPr>
              <w:t>Wirkungshaushalt einführen</w:t>
            </w:r>
          </w:p>
        </w:tc>
        <w:tc>
          <w:tcPr>
            <w:tcW w:type="dxa" w:w="5100"/>
          </w:tcPr>
          <w:p>
            <w:r>
              <w:rPr>
                <w:sz w:val="17"/>
              </w:rPr>
              <w:t>Gesamtbudget, ausgewählte Ressorts, Pilotkommunen oder Investitionshaushalt.</w:t>
            </w:r>
          </w:p>
        </w:tc>
      </w:tr>
      <w:tr>
        <w:tc>
          <w:tcPr>
            <w:tcW w:type="dxa" w:w="5100"/>
            <w:shd w:fill="F6F1E8"/>
          </w:tcPr>
          <w:p>
            <w:r>
              <w:rPr>
                <w:sz w:val="17"/>
              </w:rPr>
              <w:t>Dateninfrastruktur schaffen</w:t>
            </w:r>
          </w:p>
        </w:tc>
        <w:tc>
          <w:tcPr>
            <w:tcW w:type="dxa" w:w="5100"/>
          </w:tcPr>
          <w:p>
            <w:r>
              <w:rPr>
                <w:sz w:val="17"/>
              </w:rPr>
              <w:t>öffentliches Register, DPPs, WÖk-ID-API, offene Standards, Datenschutzvarianten.</w:t>
            </w:r>
          </w:p>
        </w:tc>
      </w:tr>
      <w:tr>
        <w:tc>
          <w:tcPr>
            <w:tcW w:type="dxa" w:w="5100"/>
            <w:shd w:fill="F6F1E8"/>
          </w:tcPr>
          <w:p>
            <w:r>
              <w:rPr>
                <w:sz w:val="17"/>
              </w:rPr>
              <w:t>Soziale Abfederung sichern</w:t>
            </w:r>
          </w:p>
        </w:tc>
        <w:tc>
          <w:tcPr>
            <w:tcW w:type="dxa" w:w="5100"/>
          </w:tcPr>
          <w:p>
            <w:r>
              <w:rPr>
                <w:sz w:val="17"/>
              </w:rPr>
              <w:t>Rückverteilung, Entlastungspakete, Transformationsfonds, Kaufkraftschutz.</w:t>
            </w:r>
          </w:p>
        </w:tc>
      </w:tr>
      <w:tr>
        <w:tc>
          <w:tcPr>
            <w:tcW w:type="dxa" w:w="5100"/>
            <w:shd w:fill="F6F1E8"/>
          </w:tcPr>
          <w:p>
            <w:r>
              <w:rPr>
                <w:sz w:val="17"/>
              </w:rPr>
              <w:t>Rechtsschutz organisieren</w:t>
            </w:r>
          </w:p>
        </w:tc>
        <w:tc>
          <w:tcPr>
            <w:tcW w:type="dxa" w:w="5100"/>
          </w:tcPr>
          <w:p>
            <w:r>
              <w:rPr>
                <w:sz w:val="17"/>
              </w:rPr>
              <w:t>Einspruch, Korrekturverfahren, unabhängige Prüfung, gerichtliche Kontrolle.</w:t>
            </w:r>
          </w:p>
        </w:tc>
      </w:tr>
    </w:tbl>
    <w:p/>
    <w:p>
      <w:pPr>
        <w:pStyle w:val="Heading1"/>
        <w:pBdr>
          <w:bottom w:val="single" w:sz="12" w:color="2E7D5C"/>
        </w:pBdr>
      </w:pPr>
      <w:r>
        <w:t>5. Grenzen technokratischer Steuerung</w:t>
      </w:r>
    </w:p>
    <w:p>
      <w:r>
        <w:t>Wirkungsmessung darf nicht zur Bewertungsmaschine über Menschen werden. Scorecards sind Werkzeuge, keine moralischen Etiketten. T-SROI, NWI und WÖk-IDs bereiten Entscheidungen vor, aber sie ersetzen keine demokratische Legitimation. Jede Wirkungsarchitektur braucht Bestimmtheit, Verhältnismäßigkeit, Rechtsschutz, demokratische Verantwortlichkeit und Lernfähigkeit.</w:t>
      </w:r>
    </w:p>
    <w:p>
      <w:pPr>
        <w:pStyle w:val="Heading1"/>
        <w:pBdr>
          <w:bottom w:val="single" w:sz="12" w:color="2E7D5C"/>
        </w:pBdr>
      </w:pPr>
      <w:r>
        <w:t>6. Portalstruktur</w:t>
      </w:r>
    </w:p>
    <w:p>
      <w:pPr>
        <w:pStyle w:val="ListBullet"/>
      </w:pPr>
      <w:r>
        <w:t>/wirkungsfelder/staat-recht-demokratie/ – Portalübersicht</w:t>
      </w:r>
    </w:p>
    <w:p>
      <w:pPr>
        <w:pStyle w:val="ListBullet"/>
      </w:pPr>
      <w:r>
        <w:t>/werkstatt/gesetze/wirkungssteuergesetz/ – LawReader WStG</w:t>
      </w:r>
    </w:p>
    <w:p>
      <w:pPr>
        <w:pStyle w:val="ListBullet"/>
      </w:pPr>
      <w:r>
        <w:t>/werkzeuge/wirkungsrat/ – Institution und Governance</w:t>
      </w:r>
    </w:p>
    <w:p>
      <w:pPr>
        <w:pStyle w:val="ListBullet"/>
      </w:pPr>
      <w:r>
        <w:t>/werkzeuge/wirkungshaushalt/ – Haushaltslogik und öffentliche Mittel</w:t>
      </w:r>
    </w:p>
    <w:p>
      <w:pPr>
        <w:pStyle w:val="ListBullet"/>
      </w:pPr>
      <w:r>
        <w:t>/werkzeuge/politische-wirkungspruefung/ – Programme und Gesetze prüfen</w:t>
      </w:r>
    </w:p>
    <w:p>
      <w:pPr>
        <w:pStyle w:val="ListBullet"/>
      </w:pPr>
      <w:r>
        <w:t>/werkzeuge/lawreader/ – Gesetzestexte online lesbar machen</w:t>
      </w:r>
    </w:p>
    <w:p>
      <w:pPr>
        <w:pStyle w:val="Heading1"/>
        <w:pBdr>
          <w:bottom w:val="single" w:sz="12" w:color="2E7D5C"/>
        </w:pBdr>
      </w:pPr>
      <w:r>
        <w:t>7. Mindeststandard für die Website</w:t>
      </w:r>
    </w:p>
    <w:p>
      <w:pPr>
        <w:pStyle w:val="ListNumber"/>
      </w:pPr>
      <w:r>
        <w:t>Gesetzestexte vollständig online lesbar machen.</w:t>
      </w:r>
    </w:p>
    <w:p>
      <w:pPr>
        <w:pStyle w:val="ListNumber"/>
      </w:pPr>
      <w:r>
        <w:t>Paragrafen mit Ankern und LawReference-Hover/Fokus/Tap versehen.</w:t>
      </w:r>
    </w:p>
    <w:p>
      <w:pPr>
        <w:pStyle w:val="ListNumber"/>
      </w:pPr>
      <w:r>
        <w:t>Jede Themenseite mit politischem Anschlussmodul ausstatten.</w:t>
      </w:r>
    </w:p>
    <w:p>
      <w:pPr>
        <w:pStyle w:val="ListNumber"/>
      </w:pPr>
      <w:r>
        <w:t>Dossiers und Einzeldossiers online lesbar machen, Downloads nur ergänzend.</w:t>
      </w:r>
    </w:p>
    <w:p>
      <w:pPr>
        <w:pStyle w:val="ListNumber"/>
      </w:pPr>
      <w:r>
        <w:t>Wirkung als rechtlich gebundene Rückkopplung darstellen, nicht als technokratische Automatisierung.</w:t>
      </w:r>
    </w:p>
    <w:p>
      <w:pPr>
        <w:pStyle w:val="Heading1"/>
        <w:pBdr>
          <w:bottom w:val="single" w:sz="12" w:color="2E7D5C"/>
        </w:pBdr>
      </w:pPr>
      <w:r>
        <w:t>Quellen und interne Referenzen</w:t>
      </w:r>
    </w:p>
    <w:p>
      <w:pPr>
        <w:pStyle w:val="ListBullet"/>
      </w:pPr>
      <w:r>
        <w:t>Weber, Natalie: Die neue Ordnung des Wohlstands. Arbeitsfassung 2026. Besonders: Kapitel 10–23, 28, 31–40, 61–66.</w:t>
      </w:r>
    </w:p>
    <w:p>
      <w:pPr>
        <w:pStyle w:val="ListBullet"/>
      </w:pPr>
      <w:r>
        <w:t>Weber, Natalie: Führender Begriffsleitfaden der Wirkungsökonomie, Version 1.0, 21. Mai 2026.</w:t>
      </w:r>
    </w:p>
    <w:p>
      <w:pPr>
        <w:pStyle w:val="ListBullet"/>
      </w:pPr>
      <w:r>
        <w:t>Weber, Natalie: Working-Paper Wirkungssteuergesetz (WStG), Stand 8.10.2025.</w:t>
      </w:r>
    </w:p>
    <w:p>
      <w:pPr>
        <w:pStyle w:val="ListBullet"/>
      </w:pPr>
      <w:r>
        <w:t>Weber, Natalie: Der Wirkungsrat – Institutionelle Verankerung der Wirkungsökonomie, September 2025.</w:t>
      </w:r>
    </w:p>
    <w:p>
      <w:pPr>
        <w:pStyle w:val="ListBullet"/>
      </w:pPr>
      <w:r>
        <w:t>Weber, Natalie: Technische Leitlinien zum Wirkungssteuergesetz (WUStG), Vollversion Extended, August 2025.</w:t>
      </w:r>
    </w:p>
    <w:p>
      <w:pPr>
        <w:pStyle w:val="ListBullet"/>
      </w:pPr>
      <w:r>
        <w:t>Weber, Natalie: Whitepaper T-SROI – Der neue Standard für Impact-Controlling in der Wirkungsökonomie, 2025.</w:t>
      </w:r>
    </w:p>
    <w:p>
      <w:pPr>
        <w:pStyle w:val="ListBullet"/>
      </w:pPr>
      <w:r>
        <w:t>Weber, Natalie: Die neue Ordnung des Wohlstands, Arbeitsfassung 2026, Teil X Staat, Politik und Demokratie.</w:t>
      </w:r>
    </w:p>
    <w:p>
      <w:pPr>
        <w:pStyle w:val="ListBullet"/>
      </w:pPr>
      <w:r>
        <w:t>Weber, Natalie: Systemmodell der Wirkungsökonomie, 2025.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777777"/>
        <w:sz w:val="16"/>
      </w:rPr>
      <w:t>© 2026 Natalie Weber · Wirkungsökonomie · Konzeptpapier · v0.1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Source Sans Pro" w:hAnsi="Source Sans Pro"/>
        <w:b/>
        <w:color w:val="2E7D5C"/>
        <w:sz w:val="16"/>
      </w:rPr>
      <w:t>WIRKUNGSÖKONOMIE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ource Sans Pro" w:hAnsi="Source Sans Pro" w:eastAsia="Source Sans Pro"/>
      <w:color w:val="252A3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Source Serif Pro" w:hAnsi="Source Serif Pro" w:eastAsia="Source Serif Pro"/>
      <w:b/>
      <w:bCs/>
      <w:color w:val="001D30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Source Serif Pro" w:hAnsi="Source Serif Pro" w:eastAsia="Source Serif Pro"/>
      <w:b/>
      <w:bCs/>
      <w:color w:val="001D30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Source Serif Pro" w:hAnsi="Source Serif Pro" w:eastAsia="Source Serif Pro"/>
      <w:b/>
      <w:bCs/>
      <w:color w:val="001D3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