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168000" cy="1478400"/>
            <wp:docPr id="1" name="Picture 1"/>
            <wp:cNvGraphicFramePr>
              <a:graphicFrameLocks noChangeAspect="1"/>
            </wp:cNvGraphicFramePr>
            <a:graphic>
              <a:graphicData uri="http://schemas.openxmlformats.org/drawingml/2006/picture">
                <pic:pic>
                  <pic:nvPicPr>
                    <pic:cNvPr id="0" name="woek_logo_word.png"/>
                    <pic:cNvPicPr/>
                  </pic:nvPicPr>
                  <pic:blipFill>
                    <a:blip r:embed="rId11"/>
                    <a:stretch>
                      <a:fillRect/>
                    </a:stretch>
                  </pic:blipFill>
                  <pic:spPr>
                    <a:xfrm>
                      <a:off x="0" y="0"/>
                      <a:ext cx="3168000" cy="1478400"/>
                    </a:xfrm>
                    <a:prstGeom prst="rect"/>
                  </pic:spPr>
                </pic:pic>
              </a:graphicData>
            </a:graphic>
          </wp:inline>
        </w:drawing>
      </w:r>
    </w:p>
    <w:p>
      <w:pPr>
        <w:jc w:val="center"/>
      </w:pPr>
      <w:r>
        <w:rPr>
          <w:rFonts w:ascii="Arial" w:hAnsi="Arial"/>
          <w:color w:val="2E7D5C"/>
          <w:sz w:val="20"/>
        </w:rPr>
        <w:t>Wirkung statt Kapital. Für Mensch, Planet und Demokratie.</w:t>
      </w:r>
    </w:p>
    <w:p>
      <w:pPr>
        <w:jc w:val="center"/>
      </w:pPr>
      <w:r>
        <w:rPr>
          <w:rFonts w:ascii="Georgia" w:hAnsi="Georgia"/>
          <w:b/>
          <w:color w:val="0B1030"/>
          <w:sz w:val="46"/>
        </w:rPr>
        <w:t>Veröffentlichungsstandard Detailkonzepte und Einzeldossiers</w:t>
      </w:r>
    </w:p>
    <w:p>
      <w:pPr>
        <w:jc w:val="center"/>
      </w:pPr>
      <w:r>
        <w:rPr>
          <w:rFonts w:ascii="Arial" w:hAnsi="Arial"/>
          <w:color w:val="252A3C"/>
          <w:sz w:val="24"/>
        </w:rPr>
        <w:t>Verbindlicher Standard für alle Portale der Wirkungsökonomie</w:t>
      </w:r>
    </w:p>
    <w:tbl>
      <w:tblPr>
        <w:tblW w:type="auto" w:w="0"/>
        <w:jc w:val="center"/>
        <w:tblLook w:firstColumn="1" w:firstRow="1" w:lastColumn="0" w:lastRow="0" w:noHBand="0" w:noVBand="1" w:val="04A0"/>
      </w:tblPr>
      <w:tblGrid>
        <w:gridCol w:w="5156"/>
        <w:gridCol w:w="5156"/>
      </w:tblGrid>
      <w:tr>
        <w:tc>
          <w:tcPr>
            <w:tcW w:type="dxa" w:w="5156"/>
            <w:tcBorders>
              <w:top w:val="single" w:sz="4" w:color="D8D0C4"/>
              <w:left w:val="single" w:sz="4" w:color="D8D0C4"/>
              <w:bottom w:val="single" w:sz="4" w:color="D8D0C4"/>
              <w:right w:val="single" w:sz="4" w:color="D8D0C4"/>
            </w:tcBorders>
            <w:vAlign w:val="center"/>
            <w:shd w:fill="F6F1E8"/>
          </w:tcPr>
          <w:p>
            <w:r/>
            <w:r>
              <w:rPr>
                <w:rFonts w:ascii="Arial" w:hAnsi="Arial"/>
                <w:b/>
                <w:color w:val="0B1030"/>
                <w:sz w:val="18"/>
              </w:rPr>
              <w:t>Dokumenttyp</w:t>
            </w:r>
          </w:p>
        </w:tc>
        <w:tc>
          <w:tcPr>
            <w:tcW w:type="dxa" w:w="5156"/>
            <w:tcBorders>
              <w:top w:val="single" w:sz="4" w:color="D8D0C4"/>
              <w:left w:val="single" w:sz="4" w:color="D8D0C4"/>
              <w:bottom w:val="single" w:sz="4" w:color="D8D0C4"/>
              <w:right w:val="single" w:sz="4" w:color="D8D0C4"/>
            </w:tcBorders>
            <w:vAlign w:val="center"/>
          </w:tcPr>
          <w:p>
            <w:r/>
            <w:r>
              <w:rPr>
                <w:rFonts w:ascii="Arial" w:hAnsi="Arial"/>
                <w:b w:val="0"/>
                <w:color w:val="252A3C"/>
                <w:sz w:val="18"/>
              </w:rPr>
              <w:t>Standardpapier</w:t>
            </w:r>
          </w:p>
        </w:tc>
      </w:tr>
      <w:tr>
        <w:tc>
          <w:tcPr>
            <w:tcW w:type="dxa" w:w="5156"/>
            <w:tcBorders>
              <w:top w:val="single" w:sz="4" w:color="D8D0C4"/>
              <w:left w:val="single" w:sz="4" w:color="D8D0C4"/>
              <w:bottom w:val="single" w:sz="4" w:color="D8D0C4"/>
              <w:right w:val="single" w:sz="4" w:color="D8D0C4"/>
            </w:tcBorders>
            <w:vAlign w:val="center"/>
            <w:shd w:fill="F6F1E8"/>
          </w:tcPr>
          <w:p>
            <w:r/>
            <w:r>
              <w:rPr>
                <w:rFonts w:ascii="Arial" w:hAnsi="Arial"/>
                <w:b/>
                <w:color w:val="0B1030"/>
                <w:sz w:val="18"/>
              </w:rPr>
              <w:t>Autorin</w:t>
            </w:r>
          </w:p>
        </w:tc>
        <w:tc>
          <w:tcPr>
            <w:tcW w:type="dxa" w:w="5156"/>
            <w:tcBorders>
              <w:top w:val="single" w:sz="4" w:color="D8D0C4"/>
              <w:left w:val="single" w:sz="4" w:color="D8D0C4"/>
              <w:bottom w:val="single" w:sz="4" w:color="D8D0C4"/>
              <w:right w:val="single" w:sz="4" w:color="D8D0C4"/>
            </w:tcBorders>
            <w:vAlign w:val="center"/>
          </w:tcPr>
          <w:p>
            <w:r/>
            <w:r>
              <w:rPr>
                <w:rFonts w:ascii="Arial" w:hAnsi="Arial"/>
                <w:b w:val="0"/>
                <w:color w:val="252A3C"/>
                <w:sz w:val="18"/>
              </w:rPr>
              <w:t>Natalie Weber</w:t>
            </w:r>
          </w:p>
        </w:tc>
      </w:tr>
      <w:tr>
        <w:tc>
          <w:tcPr>
            <w:tcW w:type="dxa" w:w="5156"/>
            <w:tcBorders>
              <w:top w:val="single" w:sz="4" w:color="D8D0C4"/>
              <w:left w:val="single" w:sz="4" w:color="D8D0C4"/>
              <w:bottom w:val="single" w:sz="4" w:color="D8D0C4"/>
              <w:right w:val="single" w:sz="4" w:color="D8D0C4"/>
            </w:tcBorders>
            <w:vAlign w:val="center"/>
            <w:shd w:fill="F6F1E8"/>
          </w:tcPr>
          <w:p>
            <w:r/>
            <w:r>
              <w:rPr>
                <w:rFonts w:ascii="Arial" w:hAnsi="Arial"/>
                <w:b/>
                <w:color w:val="0B1030"/>
                <w:sz w:val="18"/>
              </w:rPr>
              <w:t>Referenz</w:t>
            </w:r>
          </w:p>
        </w:tc>
        <w:tc>
          <w:tcPr>
            <w:tcW w:type="dxa" w:w="5156"/>
            <w:tcBorders>
              <w:top w:val="single" w:sz="4" w:color="D8D0C4"/>
              <w:left w:val="single" w:sz="4" w:color="D8D0C4"/>
              <w:bottom w:val="single" w:sz="4" w:color="D8D0C4"/>
              <w:right w:val="single" w:sz="4" w:color="D8D0C4"/>
            </w:tcBorders>
            <w:vAlign w:val="center"/>
          </w:tcPr>
          <w:p>
            <w:r/>
            <w:r>
              <w:rPr>
                <w:rFonts w:ascii="Arial" w:hAnsi="Arial"/>
                <w:b w:val="0"/>
                <w:color w:val="252A3C"/>
                <w:sz w:val="18"/>
              </w:rPr>
              <w:t>Wirkungsökonomie</w:t>
            </w:r>
          </w:p>
        </w:tc>
      </w:tr>
      <w:tr>
        <w:tc>
          <w:tcPr>
            <w:tcW w:type="dxa" w:w="5156"/>
            <w:tcBorders>
              <w:top w:val="single" w:sz="4" w:color="D8D0C4"/>
              <w:left w:val="single" w:sz="4" w:color="D8D0C4"/>
              <w:bottom w:val="single" w:sz="4" w:color="D8D0C4"/>
              <w:right w:val="single" w:sz="4" w:color="D8D0C4"/>
            </w:tcBorders>
            <w:vAlign w:val="center"/>
            <w:shd w:fill="F6F1E8"/>
          </w:tcPr>
          <w:p>
            <w:r/>
            <w:r>
              <w:rPr>
                <w:rFonts w:ascii="Arial" w:hAnsi="Arial"/>
                <w:b/>
                <w:color w:val="0B1030"/>
                <w:sz w:val="18"/>
              </w:rPr>
              <w:t>Version / Status</w:t>
            </w:r>
          </w:p>
        </w:tc>
        <w:tc>
          <w:tcPr>
            <w:tcW w:type="dxa" w:w="5156"/>
            <w:tcBorders>
              <w:top w:val="single" w:sz="4" w:color="D8D0C4"/>
              <w:left w:val="single" w:sz="4" w:color="D8D0C4"/>
              <w:bottom w:val="single" w:sz="4" w:color="D8D0C4"/>
              <w:right w:val="single" w:sz="4" w:color="D8D0C4"/>
            </w:tcBorders>
            <w:vAlign w:val="center"/>
          </w:tcPr>
          <w:p>
            <w:r/>
            <w:r>
              <w:rPr>
                <w:rFonts w:ascii="Arial" w:hAnsi="Arial"/>
                <w:b w:val="0"/>
                <w:color w:val="252A3C"/>
                <w:sz w:val="18"/>
              </w:rPr>
              <w:t>v0.2 / verbindliche Arbeitsgrundlage</w:t>
            </w:r>
          </w:p>
        </w:tc>
      </w:tr>
      <w:tr>
        <w:tc>
          <w:tcPr>
            <w:tcW w:type="dxa" w:w="5156"/>
            <w:tcBorders>
              <w:top w:val="single" w:sz="4" w:color="D8D0C4"/>
              <w:left w:val="single" w:sz="4" w:color="D8D0C4"/>
              <w:bottom w:val="single" w:sz="4" w:color="D8D0C4"/>
              <w:right w:val="single" w:sz="4" w:color="D8D0C4"/>
            </w:tcBorders>
            <w:vAlign w:val="center"/>
            <w:shd w:fill="F6F1E8"/>
          </w:tcPr>
          <w:p>
            <w:r/>
            <w:r>
              <w:rPr>
                <w:rFonts w:ascii="Arial" w:hAnsi="Arial"/>
                <w:b/>
                <w:color w:val="0B1030"/>
                <w:sz w:val="18"/>
              </w:rPr>
              <w:t>Stand</w:t>
            </w:r>
          </w:p>
        </w:tc>
        <w:tc>
          <w:tcPr>
            <w:tcW w:type="dxa" w:w="5156"/>
            <w:tcBorders>
              <w:top w:val="single" w:sz="4" w:color="D8D0C4"/>
              <w:left w:val="single" w:sz="4" w:color="D8D0C4"/>
              <w:bottom w:val="single" w:sz="4" w:color="D8D0C4"/>
              <w:right w:val="single" w:sz="4" w:color="D8D0C4"/>
            </w:tcBorders>
            <w:vAlign w:val="center"/>
          </w:tcPr>
          <w:p>
            <w:r/>
            <w:r>
              <w:rPr>
                <w:rFonts w:ascii="Arial" w:hAnsi="Arial"/>
                <w:b w:val="0"/>
                <w:color w:val="252A3C"/>
                <w:sz w:val="18"/>
              </w:rPr>
              <w:t>24.05.2026</w:t>
            </w:r>
          </w:p>
        </w:tc>
      </w:tr>
    </w:tbl>
    <w:p>
      <w:pPr>
        <w:jc w:val="center"/>
      </w:pPr>
      <w:r>
        <w:rPr>
          <w:i/>
          <w:color w:val="666666"/>
          <w:sz w:val="17"/>
        </w:rPr>
        <w:t>Arbeitsfassung für Online-Volltext, Dossier, Portal und Codex-Umsetzung.</w:t>
      </w:r>
    </w:p>
    <w:p>
      <w:r>
        <w:br w:type="page"/>
      </w:r>
    </w:p>
    <w:p>
      <w:pPr>
        <w:pStyle w:val="Heading1"/>
        <w:pBdr>
          <w:bottom w:val="single" w:sz="10" w:color="2E7D5C"/>
        </w:pBdr>
      </w:pPr>
      <w:r>
        <w:t>Neue verbindliche Regel</w:t>
      </w:r>
    </w:p>
    <w:tbl>
      <w:tblPr>
        <w:tblW w:type="auto" w:w="0"/>
        <w:jc w:val="center"/>
        <w:tblLook w:firstColumn="1" w:firstRow="1" w:lastColumn="0" w:lastRow="0" w:noHBand="0" w:noVBand="1" w:val="04A0"/>
      </w:tblPr>
      <w:tblGrid>
        <w:gridCol w:w="10312"/>
      </w:tblGrid>
      <w:tr>
        <w:tc>
          <w:tcPr>
            <w:tcW w:type="dxa" w:w="10312"/>
            <w:shd w:fill="F6F1E8"/>
            <w:tcBorders>
              <w:top w:val="single" w:sz="6" w:color="2E7D5C"/>
              <w:left w:val="single" w:sz="6" w:color="2E7D5C"/>
              <w:bottom w:val="single" w:sz="6" w:color="2E7D5C"/>
              <w:right w:val="single" w:sz="6" w:color="2E7D5C"/>
            </w:tcBorders>
          </w:tcPr>
          <w:p>
            <w:r>
              <w:rPr>
                <w:rFonts w:ascii="Arial" w:hAnsi="Arial"/>
                <w:b/>
                <w:color w:val="0B1030"/>
                <w:sz w:val="21"/>
              </w:rPr>
              <w:t>Standard</w:t>
            </w:r>
          </w:p>
          <w:p>
            <w:pPr>
              <w:spacing w:after="40"/>
            </w:pPr>
            <w:r>
              <w:rPr>
                <w:rFonts w:ascii="Arial" w:hAnsi="Arial"/>
                <w:color w:val="252A3C"/>
                <w:sz w:val="18"/>
              </w:rPr>
              <w:t>Jedes Portal erhält: Portalübersicht, Konzeptpapier, Gesamtdossier, Detailkonzepte zu allen Unterbereichen, Einzeldossiers zu allen Unterbereichen, Online-HTML/Volltext, Download/Export, Tool-Spezifikation, Codex-Anweisung und politische Anschlussfähigkeit.</w:t>
            </w:r>
          </w:p>
        </w:tc>
      </w:tr>
    </w:tbl>
    <w:p/>
    <w:p>
      <w:pPr>
        <w:pStyle w:val="Heading1"/>
        <w:pBdr>
          <w:bottom w:val="single" w:sz="10" w:color="2E7D5C"/>
        </w:pBdr>
      </w:pPr>
      <w:r>
        <w:t>Warum Detailkonzept und Dossier getrennt werden</w:t>
      </w:r>
    </w:p>
    <w:tbl>
      <w:tblPr>
        <w:tblStyle w:val="TableGrid"/>
        <w:tblW w:type="auto" w:w="0"/>
        <w:jc w:val="center"/>
        <w:tblLook w:firstColumn="1" w:firstRow="1" w:lastColumn="0" w:lastRow="0" w:noHBand="0" w:noVBand="1" w:val="04A0"/>
      </w:tblPr>
      <w:tblGrid>
        <w:gridCol w:w="3437"/>
        <w:gridCol w:w="3437"/>
        <w:gridCol w:w="3437"/>
      </w:tblGrid>
      <w:tr>
        <w:tc>
          <w:tcPr>
            <w:tcW w:type="dxa" w:w="3437"/>
            <w:shd w:fill="0B1030"/>
            <w:tcBorders>
              <w:top w:val="single" w:sz="4" w:color="D8D0C4"/>
              <w:left w:val="single" w:sz="4" w:color="D8D0C4"/>
              <w:bottom w:val="single" w:sz="4" w:color="D8D0C4"/>
              <w:right w:val="single" w:sz="4" w:color="D8D0C4"/>
            </w:tcBorders>
          </w:tcPr>
          <w:p>
            <w:r/>
            <w:r>
              <w:rPr>
                <w:rFonts w:ascii="Arial" w:hAnsi="Arial"/>
                <w:b/>
                <w:color w:val="FFFFFF"/>
                <w:sz w:val="16"/>
              </w:rPr>
              <w:t>Artefakt</w:t>
            </w:r>
          </w:p>
        </w:tc>
        <w:tc>
          <w:tcPr>
            <w:tcW w:type="dxa" w:w="3437"/>
            <w:shd w:fill="0B1030"/>
            <w:tcBorders>
              <w:top w:val="single" w:sz="4" w:color="D8D0C4"/>
              <w:left w:val="single" w:sz="4" w:color="D8D0C4"/>
              <w:bottom w:val="single" w:sz="4" w:color="D8D0C4"/>
              <w:right w:val="single" w:sz="4" w:color="D8D0C4"/>
            </w:tcBorders>
          </w:tcPr>
          <w:p>
            <w:r/>
            <w:r>
              <w:rPr>
                <w:rFonts w:ascii="Arial" w:hAnsi="Arial"/>
                <w:b/>
                <w:color w:val="FFFFFF"/>
                <w:sz w:val="16"/>
              </w:rPr>
              <w:t>Funktion</w:t>
            </w:r>
          </w:p>
        </w:tc>
        <w:tc>
          <w:tcPr>
            <w:tcW w:type="dxa" w:w="3437"/>
            <w:shd w:fill="0B1030"/>
            <w:tcBorders>
              <w:top w:val="single" w:sz="4" w:color="D8D0C4"/>
              <w:left w:val="single" w:sz="4" w:color="D8D0C4"/>
              <w:bottom w:val="single" w:sz="4" w:color="D8D0C4"/>
              <w:right w:val="single" w:sz="4" w:color="D8D0C4"/>
            </w:tcBorders>
          </w:tcPr>
          <w:p>
            <w:r/>
            <w:r>
              <w:rPr>
                <w:rFonts w:ascii="Arial" w:hAnsi="Arial"/>
                <w:b/>
                <w:color w:val="FFFFFF"/>
                <w:sz w:val="16"/>
              </w:rPr>
              <w:t>Inhalt</w:t>
            </w:r>
          </w:p>
        </w:tc>
      </w:tr>
      <w:tr>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Detailkonzept</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Begründet den Unterbereich</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alte Logik, neue Logik, Begriffe, Architektur, Politikrahmen</w:t>
            </w:r>
          </w:p>
        </w:tc>
      </w:tr>
      <w:tr>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Einzeldossier</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Macht den Unterbereich anwendbar</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Beispiele, Daten, Berechnung, Tool, Risiken, Umsetzung</w:t>
            </w:r>
          </w:p>
        </w:tc>
      </w:tr>
      <w:tr>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Online-HTML</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Hauptzugang für Leser:innen</w:t>
            </w:r>
          </w:p>
        </w:tc>
        <w:tc>
          <w:tcPr>
            <w:tcW w:type="dxa" w:w="3437"/>
            <w:tcBorders>
              <w:top w:val="single" w:sz="4" w:color="D8D0C4"/>
              <w:left w:val="single" w:sz="4" w:color="D8D0C4"/>
              <w:bottom w:val="single" w:sz="4" w:color="D8D0C4"/>
              <w:right w:val="single" w:sz="4" w:color="D8D0C4"/>
            </w:tcBorders>
            <w:shd w:fill="FFFFFF"/>
          </w:tcPr>
          <w:p>
            <w:r/>
            <w:r>
              <w:rPr>
                <w:rFonts w:ascii="Arial" w:hAnsi="Arial"/>
                <w:color w:val="252A3C"/>
                <w:sz w:val="16"/>
              </w:rPr>
              <w:t>vollständig lesbar, Druck, Download, Anker, Tools, SDGs</w:t>
            </w:r>
          </w:p>
        </w:tc>
      </w:tr>
    </w:tbl>
    <w:p>
      <w:pPr>
        <w:pStyle w:val="Heading1"/>
        <w:pBdr>
          <w:bottom w:val="single" w:sz="10" w:color="2E7D5C"/>
        </w:pBdr>
      </w:pPr>
      <w:r>
        <w:t>Rückwirkend nachzuholen</w:t>
      </w:r>
    </w:p>
    <w:p>
      <w:pPr>
        <w:pStyle w:val="ListBullet"/>
        <w:spacing w:after="40"/>
      </w:pPr>
      <w:r>
        <w:rPr>
          <w:rFonts w:ascii="Arial" w:hAnsi="Arial"/>
          <w:color w:val="252A3C"/>
          <w:sz w:val="19"/>
        </w:rPr>
        <w:t>Rang 1 Produkte &amp; Konsum: zu allen bestehenden Einzeldossiers zusätzlich Detailkonzepte erstellen und online abbilden.</w:t>
      </w:r>
    </w:p>
    <w:p>
      <w:pPr>
        <w:pStyle w:val="ListBullet"/>
        <w:spacing w:after="40"/>
      </w:pPr>
      <w:r>
        <w:rPr>
          <w:rFonts w:ascii="Arial" w:hAnsi="Arial"/>
          <w:color w:val="252A3C"/>
          <w:sz w:val="19"/>
        </w:rPr>
        <w:t>Rang 2 Impact Controlling: zu T-SROI, NWI, WÖk-IDs, Scorecards, Reverse Merit Order, Benchmarks, Assurance, DPP/Wirkungsdatenräume, KII und Beispielrechnungen Detailkonzepte ergänzen.</w:t>
      </w:r>
    </w:p>
    <w:p>
      <w:pPr>
        <w:pStyle w:val="ListBullet"/>
        <w:spacing w:after="40"/>
      </w:pPr>
      <w:r>
        <w:rPr>
          <w:rFonts w:ascii="Arial" w:hAnsi="Arial"/>
          <w:color w:val="252A3C"/>
          <w:sz w:val="19"/>
        </w:rPr>
        <w:t>Rang 3 Staat, Recht &amp; Demokratie: zu Wirkung als Rechtsprinzip, WStG, WUStG, WEstG, Wirkungshaushalt, Wirkungsrat, Verwaltung/Rechtsschutz, politischer Wirkungsprüfung, Lobbyismus/Macht und Bürgerbeteiligung Detailkonzepte ergänzen.</w:t>
      </w:r>
    </w:p>
    <w:p>
      <w:pPr>
        <w:pStyle w:val="Heading1"/>
        <w:pBdr>
          <w:bottom w:val="single" w:sz="10" w:color="2E7D5C"/>
        </w:pBdr>
      </w:pPr>
      <w:r>
        <w:t>Pflichtbaustein politische Anschlussfähigkeit</w:t>
      </w:r>
    </w:p>
    <w:p>
      <w:pPr>
        <w:spacing w:after="100" w:line="259" w:lineRule="auto"/>
      </w:pPr>
      <w:r>
        <w:rPr>
          <w:rFonts w:ascii="Arial" w:hAnsi="Arial"/>
          <w:color w:val="252A3C"/>
          <w:sz w:val="20"/>
        </w:rPr>
        <w:t>Jede Themenseite enthält einen Abschnitt „Aufgaben der Politik und Ausgestaltungsspielräume“. Dieser Abschnitt macht deutlich, was politisch geregelt werden muss und welche unterschiedlichen legitimen Wege demokratische Parteien wählen können. Die Wirkungsökonomie ersetzt nicht den politischen Diskurs, sondern stellt einen messbaren Referenzrahmen für ihn bereit.</w:t>
      </w:r>
    </w:p>
    <w:p>
      <w:pPr>
        <w:pStyle w:val="Heading1"/>
        <w:pBdr>
          <w:bottom w:val="single" w:sz="10" w:color="2E7D5C"/>
        </w:pBdr>
      </w:pPr>
      <w:r>
        <w:t>Interne und externe Referenzen</w:t>
      </w:r>
    </w:p>
    <w:p>
      <w:pPr>
        <w:pStyle w:val="ListBullet"/>
        <w:spacing w:after="40"/>
      </w:pPr>
      <w:r>
        <w:rPr>
          <w:rFonts w:ascii="Arial" w:hAnsi="Arial"/>
          <w:color w:val="252A3C"/>
          <w:sz w:val="19"/>
        </w:rPr>
        <w:t>Natalie Weber: Die neue Ordnung des Wohlstands, Manuskriptfassung 2026, Teil VII: Unternehmen, Management und Wertschöpfung, Kapitel 42-47.</w:t>
      </w:r>
    </w:p>
    <w:p>
      <w:pPr>
        <w:pStyle w:val="ListBullet"/>
        <w:spacing w:after="40"/>
      </w:pPr>
      <w:r>
        <w:rPr>
          <w:rFonts w:ascii="Arial" w:hAnsi="Arial"/>
          <w:color w:val="252A3C"/>
          <w:sz w:val="19"/>
        </w:rPr>
        <w:t>Natalie Weber: Systemmodell der Wirkungsökonomie, 2025, Dimension Wirtschaft &amp; Unternehmen.</w:t>
      </w:r>
    </w:p>
    <w:p>
      <w:pPr>
        <w:pStyle w:val="ListBullet"/>
        <w:spacing w:after="40"/>
      </w:pPr>
      <w:r>
        <w:rPr>
          <w:rFonts w:ascii="Arial" w:hAnsi="Arial"/>
          <w:color w:val="252A3C"/>
          <w:sz w:val="19"/>
        </w:rPr>
        <w:t>Natalie Weber: Wirkungsökonomie in der Lieferkette, September 2025.</w:t>
      </w:r>
    </w:p>
    <w:p>
      <w:pPr>
        <w:pStyle w:val="ListBullet"/>
        <w:spacing w:after="40"/>
      </w:pPr>
      <w:r>
        <w:rPr>
          <w:rFonts w:ascii="Arial" w:hAnsi="Arial"/>
          <w:color w:val="252A3C"/>
          <w:sz w:val="19"/>
        </w:rPr>
        <w:t>Natalie Weber: Produktbesteuerung durch Wirkung, 2025.</w:t>
      </w:r>
    </w:p>
    <w:p>
      <w:pPr>
        <w:pStyle w:val="ListBullet"/>
        <w:spacing w:after="40"/>
      </w:pPr>
      <w:r>
        <w:rPr>
          <w:rFonts w:ascii="Arial" w:hAnsi="Arial"/>
          <w:color w:val="252A3C"/>
          <w:sz w:val="19"/>
        </w:rPr>
        <w:t>Natalie Weber: Whitepaper T-SROI, 2025.</w:t>
      </w:r>
    </w:p>
    <w:p>
      <w:pPr>
        <w:pStyle w:val="ListBullet"/>
        <w:spacing w:after="40"/>
      </w:pPr>
      <w:r>
        <w:rPr>
          <w:rFonts w:ascii="Arial" w:hAnsi="Arial"/>
          <w:color w:val="252A3C"/>
          <w:sz w:val="19"/>
        </w:rPr>
        <w:t>EU: Corporate Sustainability Reporting Directive (CSRD) und European Sustainability Reporting Standards (ESRS).</w:t>
      </w:r>
    </w:p>
    <w:p>
      <w:pPr>
        <w:pStyle w:val="ListBullet"/>
        <w:spacing w:after="40"/>
      </w:pPr>
      <w:r>
        <w:rPr>
          <w:rFonts w:ascii="Arial" w:hAnsi="Arial"/>
          <w:color w:val="252A3C"/>
          <w:sz w:val="19"/>
        </w:rPr>
        <w:t>EU: Corporate Sustainability Due Diligence Directive (CSDDD), Directive (EU) 2024/1760.</w:t>
      </w:r>
    </w:p>
    <w:p>
      <w:pPr>
        <w:pStyle w:val="ListBullet"/>
        <w:spacing w:after="40"/>
      </w:pPr>
      <w:r>
        <w:rPr>
          <w:rFonts w:ascii="Arial" w:hAnsi="Arial"/>
          <w:color w:val="252A3C"/>
          <w:sz w:val="19"/>
        </w:rPr>
        <w:t>OECD: Due Diligence Guidance for Responsible Business Conduct.</w:t>
      </w:r>
    </w:p>
    <w:p>
      <w:pPr>
        <w:pStyle w:val="ListBullet"/>
        <w:spacing w:after="40"/>
      </w:pPr>
      <w:r>
        <w:rPr>
          <w:rFonts w:ascii="Arial" w:hAnsi="Arial"/>
          <w:color w:val="252A3C"/>
          <w:sz w:val="19"/>
        </w:rPr>
        <w:t>UN OHCHR: Guiding Principles on Business and Human Rights.</w:t>
      </w:r>
    </w:p>
    <w:p>
      <w:pPr>
        <w:pStyle w:val="ListBullet"/>
        <w:spacing w:after="40"/>
      </w:pPr>
      <w:r>
        <w:rPr>
          <w:rFonts w:ascii="Arial" w:hAnsi="Arial"/>
          <w:color w:val="252A3C"/>
          <w:sz w:val="19"/>
        </w:rPr>
        <w:t>ICC: Advertising and Marketing Communications Code, 2024.</w:t>
      </w:r>
    </w:p>
    <w:sectPr w:rsidR="00FC693F" w:rsidRPr="0006063C" w:rsidSect="00034616">
      <w:headerReference w:type="default" r:id="rId9"/>
      <w:footerReference w:type="default" r:id="rId10"/>
      <w:pgSz w:w="12240" w:h="15840"/>
      <w:pgMar w:top="879" w:right="964" w:bottom="76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77777"/>
        <w:sz w:val="15"/>
      </w:rPr>
      <w:t>© 2026 Natalie Weber · Wirkungsökonomie · Standardpapier · v0.2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color w:val="2E7D5C"/>
        <w:sz w:val="15"/>
      </w:rPr>
      <w:t>WIRKUNGSÖKONOMIE | STANDARDPAPIER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52A3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3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3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3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