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Playfair Display" w:hAnsi="Playfair Display"/>
          <w:b/>
          <w:color w:val="0B1B33"/>
          <w:sz w:val="42"/>
        </w:rPr>
        <w:t>WIRKUNGSÖKONOMIE</w:t>
      </w:r>
    </w:p>
    <w:p>
      <w:pPr>
        <w:jc w:val="center"/>
      </w:pPr>
      <w:r>
        <w:rPr>
          <w:rFonts w:ascii="Source Sans 3" w:hAnsi="Source Sans 3"/>
          <w:color w:val="C89B3C"/>
          <w:sz w:val="19"/>
        </w:rPr>
        <w:t>Für Mensch, Planet und Demokratie.</w:t>
      </w:r>
    </w:p>
    <w:p/>
    <w:p>
      <w:pPr>
        <w:jc w:val="center"/>
      </w:pPr>
      <w:r>
        <w:rPr>
          <w:rFonts w:ascii="Playfair Display" w:hAnsi="Playfair Display"/>
          <w:b/>
          <w:color w:val="0B1B33"/>
          <w:sz w:val="52"/>
        </w:rPr>
        <w:t>Steuer- und Fondsarchitektur der Wirkungsökonomie</w:t>
      </w:r>
    </w:p>
    <w:p>
      <w:pPr>
        <w:jc w:val="center"/>
      </w:pPr>
      <w:r>
        <w:rPr>
          <w:rFonts w:ascii="Source Sans 3" w:hAnsi="Source Sans 3"/>
          <w:color w:val="2D7D5C"/>
          <w:sz w:val="24"/>
        </w:rPr>
        <w:t>Dossier mit Modellrechnungen, Fondslandkarte und Umsetzungspfaden</w:t>
      </w:r>
    </w:p>
    <w:p/>
    <w:tbl>
      <w:tblPr>
        <w:tblW w:type="auto" w:w="0"/>
        <w:jc w:val="center"/>
        <w:tblLayout w:type="autofit"/>
        <w:tblLook w:firstColumn="1" w:firstRow="1" w:lastColumn="0" w:lastRow="0" w:noHBand="0" w:noVBand="1" w:val="04A0"/>
      </w:tblPr>
      <w:tblGrid>
        <w:gridCol w:w="5156"/>
        <w:gridCol w:w="5156"/>
      </w:tblGrid>
      <w:tr>
        <w:tc>
          <w:tcPr>
            <w:tcW w:type="dxa" w:w="5156"/>
            <w:shd w:fill="F6F1E8"/>
          </w:tcPr>
          <w:p>
            <w:pPr>
              <w:jc w:val="left"/>
            </w:pPr>
            <w:r/>
            <w:r>
              <w:rPr>
                <w:rFonts w:ascii="Source Sans 3" w:hAnsi="Source Sans 3"/>
                <w:b/>
                <w:color w:val="0B1B33"/>
                <w:sz w:val="17"/>
              </w:rPr>
              <w:t>Autorin</w:t>
            </w:r>
          </w:p>
        </w:tc>
        <w:tc>
          <w:tcPr>
            <w:tcW w:type="dxa" w:w="5156"/>
          </w:tcPr>
          <w:p>
            <w:pPr>
              <w:jc w:val="left"/>
            </w:pPr>
            <w:r/>
            <w:r>
              <w:rPr>
                <w:rFonts w:ascii="Source Sans 3" w:hAnsi="Source Sans 3"/>
                <w:b w:val="0"/>
                <w:sz w:val="17"/>
              </w:rPr>
              <w:t>Natalie Weber</w:t>
            </w:r>
          </w:p>
        </w:tc>
      </w:tr>
      <w:tr>
        <w:tc>
          <w:tcPr>
            <w:tcW w:type="dxa" w:w="5156"/>
            <w:shd w:fill="F6F1E8"/>
          </w:tcPr>
          <w:p>
            <w:pPr>
              <w:jc w:val="left"/>
            </w:pPr>
            <w:r/>
            <w:r>
              <w:rPr>
                <w:rFonts w:ascii="Source Sans 3" w:hAnsi="Source Sans 3"/>
                <w:b/>
                <w:color w:val="0B1B33"/>
                <w:sz w:val="17"/>
              </w:rPr>
              <w:t>Referenz</w:t>
            </w:r>
          </w:p>
        </w:tc>
        <w:tc>
          <w:tcPr>
            <w:tcW w:type="dxa" w:w="5156"/>
          </w:tcPr>
          <w:p>
            <w:pPr>
              <w:jc w:val="left"/>
            </w:pPr>
            <w:r/>
            <w:r>
              <w:rPr>
                <w:rFonts w:ascii="Source Sans 3" w:hAnsi="Source Sans 3"/>
                <w:b w:val="0"/>
                <w:sz w:val="17"/>
              </w:rPr>
              <w:t>Wirkungsökonomie</w:t>
            </w:r>
          </w:p>
        </w:tc>
      </w:tr>
      <w:tr>
        <w:tc>
          <w:tcPr>
            <w:tcW w:type="dxa" w:w="5156"/>
            <w:shd w:fill="F6F1E8"/>
          </w:tcPr>
          <w:p>
            <w:pPr>
              <w:jc w:val="left"/>
            </w:pPr>
            <w:r/>
            <w:r>
              <w:rPr>
                <w:rFonts w:ascii="Source Sans 3" w:hAnsi="Source Sans 3"/>
                <w:b/>
                <w:color w:val="0B1B33"/>
                <w:sz w:val="17"/>
              </w:rPr>
              <w:t>Version</w:t>
            </w:r>
          </w:p>
        </w:tc>
        <w:tc>
          <w:tcPr>
            <w:tcW w:type="dxa" w:w="5156"/>
          </w:tcPr>
          <w:p>
            <w:pPr>
              <w:jc w:val="left"/>
            </w:pPr>
            <w:r/>
            <w:r>
              <w:rPr>
                <w:rFonts w:ascii="Source Sans 3" w:hAnsi="Source Sans 3"/>
                <w:b w:val="0"/>
                <w:sz w:val="17"/>
              </w:rPr>
              <w:t>v0.1</w:t>
            </w:r>
          </w:p>
        </w:tc>
      </w:tr>
      <w:tr>
        <w:tc>
          <w:tcPr>
            <w:tcW w:type="dxa" w:w="5156"/>
            <w:shd w:fill="F6F1E8"/>
          </w:tcPr>
          <w:p>
            <w:pPr>
              <w:jc w:val="left"/>
            </w:pPr>
            <w:r/>
            <w:r>
              <w:rPr>
                <w:rFonts w:ascii="Source Sans 3" w:hAnsi="Source Sans 3"/>
                <w:b/>
                <w:color w:val="0B1B33"/>
                <w:sz w:val="17"/>
              </w:rPr>
              <w:t>Stand</w:t>
            </w:r>
          </w:p>
        </w:tc>
        <w:tc>
          <w:tcPr>
            <w:tcW w:type="dxa" w:w="5156"/>
          </w:tcPr>
          <w:p>
            <w:pPr>
              <w:jc w:val="left"/>
            </w:pPr>
            <w:r/>
            <w:r>
              <w:rPr>
                <w:rFonts w:ascii="Source Sans 3" w:hAnsi="Source Sans 3"/>
                <w:b w:val="0"/>
                <w:sz w:val="17"/>
              </w:rPr>
              <w:t>24. Mai 2026</w:t>
            </w:r>
          </w:p>
        </w:tc>
      </w:tr>
      <w:tr>
        <w:tc>
          <w:tcPr>
            <w:tcW w:type="dxa" w:w="5156"/>
            <w:shd w:fill="F6F1E8"/>
          </w:tcPr>
          <w:p>
            <w:pPr>
              <w:jc w:val="left"/>
            </w:pPr>
            <w:r/>
            <w:r>
              <w:rPr>
                <w:rFonts w:ascii="Source Sans 3" w:hAnsi="Source Sans 3"/>
                <w:b/>
                <w:color w:val="0B1B33"/>
                <w:sz w:val="17"/>
              </w:rPr>
              <w:t>Status</w:t>
            </w:r>
          </w:p>
        </w:tc>
        <w:tc>
          <w:tcPr>
            <w:tcW w:type="dxa" w:w="5156"/>
          </w:tcPr>
          <w:p>
            <w:pPr>
              <w:jc w:val="left"/>
            </w:pPr>
            <w:r/>
            <w:r>
              <w:rPr>
                <w:rFonts w:ascii="Source Sans 3" w:hAnsi="Source Sans 3"/>
                <w:b w:val="0"/>
                <w:sz w:val="17"/>
              </w:rPr>
              <w:t>Dossier - öffentliche Arbeitsfassung</w:t>
            </w:r>
          </w:p>
        </w:tc>
      </w:tr>
      <w:tr>
        <w:tc>
          <w:tcPr>
            <w:tcW w:type="dxa" w:w="5156"/>
            <w:shd w:fill="F6F1E8"/>
          </w:tcPr>
          <w:p>
            <w:pPr>
              <w:jc w:val="left"/>
            </w:pPr>
            <w:r/>
            <w:r>
              <w:rPr>
                <w:rFonts w:ascii="Source Sans 3" w:hAnsi="Source Sans 3"/>
                <w:b/>
                <w:color w:val="0B1B33"/>
                <w:sz w:val="17"/>
              </w:rPr>
              <w:t>Hinweis</w:t>
            </w:r>
          </w:p>
        </w:tc>
        <w:tc>
          <w:tcPr>
            <w:tcW w:type="dxa" w:w="5156"/>
          </w:tcPr>
          <w:p>
            <w:pPr>
              <w:jc w:val="left"/>
            </w:pPr>
            <w:r/>
            <w:r>
              <w:rPr>
                <w:rFonts w:ascii="Source Sans 3" w:hAnsi="Source Sans 3"/>
                <w:b w:val="0"/>
                <w:sz w:val="17"/>
              </w:rPr>
              <w:t>Öffentliche Arbeitsfassung ohne interne Umsetzungsanweisungen.</w:t>
            </w:r>
          </w:p>
        </w:tc>
      </w:tr>
    </w:tbl>
    <w:p/>
    <w:p>
      <w:pPr>
        <w:jc w:val="center"/>
      </w:pPr>
      <w:r>
        <w:rPr>
          <w:rFonts w:ascii="Source Sans 3" w:hAnsi="Source Sans 3"/>
          <w:i/>
          <w:color w:val="0B1B33"/>
          <w:sz w:val="20"/>
        </w:rPr>
        <w:t>Wirkung statt Kapital. Wirkung als überprüfbare Zustandsveränderung. Positive Netto-Wirkung für Mensch, Planet und Demokratie.</w:t>
      </w:r>
    </w:p>
    <w:p>
      <w:r>
        <w:br w:type="page"/>
      </w:r>
    </w:p>
    <w:p>
      <w:pPr>
        <w:pStyle w:val="Heading1"/>
      </w:pPr>
      <w:r>
        <w:t>Kurzfassung</w:t>
      </w:r>
    </w:p>
    <w:p>
      <w:pPr>
        <w:spacing w:after="120" w:line="269" w:lineRule="auto"/>
      </w:pPr>
      <w:r>
        <w:t>Dieses Dossier macht die Finanzierungsarchitektur praktisch: Welche Mittelquellen sind denkbar? Wie könnte Automatisierung sozial eingebunden werden? Welche Fonds braucht die Wirkungsökonomie? Welche Steuerinstrumente gehören in welche Ränge der Portalarchitektur? Alle Berechnungen sind modellhafte Arbeitsannahmen, keine Steuervorschläge und keine Rechtsberatung.</w:t>
      </w:r>
    </w:p>
    <w:p>
      <w:pPr>
        <w:pStyle w:val="Heading1"/>
      </w:pPr>
      <w:r>
        <w:t>1. Beispielrechnung: Wenn Roboter menschliche Arbeit ersetzen</w:t>
      </w:r>
    </w:p>
    <w:p>
      <w:pPr>
        <w:spacing w:after="120" w:line="269" w:lineRule="auto"/>
      </w:pPr>
      <w:r>
        <w:t>Szenario: Ein Unternehmen ersetzt 10 Vollzeitstellen durch ein Robotiksystem. Die Produktivität bleibt gleich oder steigt. Die Lohnsumme sinkt jedoch. In der alten Logik sinken Sozialabgaben, obwohl Wertschöpfung weiter entsteht. Das erzeugt eine Finanzierungslücke.</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pPr>
              <w:jc w:val="left"/>
            </w:pPr>
            <w:r/>
            <w:r>
              <w:rPr>
                <w:rFonts w:ascii="Source Sans 3" w:hAnsi="Source Sans 3"/>
                <w:b/>
                <w:color w:val="FFFFFF"/>
                <w:sz w:val="15"/>
              </w:rPr>
              <w:t>Position</w:t>
            </w:r>
          </w:p>
        </w:tc>
        <w:tc>
          <w:tcPr>
            <w:tcW w:type="dxa" w:w="3437"/>
            <w:shd w:fill="0B1B33"/>
            <w:vAlign w:val="center"/>
          </w:tcPr>
          <w:p>
            <w:pPr>
              <w:jc w:val="left"/>
            </w:pPr>
            <w:r/>
            <w:r>
              <w:rPr>
                <w:rFonts w:ascii="Source Sans 3" w:hAnsi="Source Sans 3"/>
                <w:b/>
                <w:color w:val="FFFFFF"/>
                <w:sz w:val="15"/>
              </w:rPr>
              <w:t>Alte Logik</w:t>
            </w:r>
          </w:p>
        </w:tc>
        <w:tc>
          <w:tcPr>
            <w:tcW w:type="dxa" w:w="3437"/>
            <w:shd w:fill="0B1B33"/>
            <w:vAlign w:val="center"/>
          </w:tcPr>
          <w:p>
            <w:pPr>
              <w:jc w:val="left"/>
            </w:pPr>
            <w:r/>
            <w:r>
              <w:rPr>
                <w:rFonts w:ascii="Source Sans 3" w:hAnsi="Source Sans 3"/>
                <w:b/>
                <w:color w:val="FFFFFF"/>
                <w:sz w:val="15"/>
              </w:rPr>
              <w:t>WÖk-Logik</w:t>
            </w:r>
          </w:p>
        </w:tc>
      </w:tr>
      <w:tr>
        <w:tc>
          <w:tcPr>
            <w:tcW w:type="dxa" w:w="3437"/>
            <w:vAlign w:val="top"/>
          </w:tcPr>
          <w:p>
            <w:pPr>
              <w:jc w:val="left"/>
            </w:pPr>
            <w:r/>
            <w:r>
              <w:rPr>
                <w:rFonts w:ascii="Source Sans 3" w:hAnsi="Source Sans 3"/>
                <w:b w:val="0"/>
                <w:sz w:val="15"/>
              </w:rPr>
              <w:t>10 Beschäftigte</w:t>
            </w:r>
          </w:p>
        </w:tc>
        <w:tc>
          <w:tcPr>
            <w:tcW w:type="dxa" w:w="3437"/>
            <w:vAlign w:val="top"/>
          </w:tcPr>
          <w:p>
            <w:pPr>
              <w:jc w:val="left"/>
            </w:pPr>
            <w:r/>
            <w:r>
              <w:rPr>
                <w:rFonts w:ascii="Source Sans 3" w:hAnsi="Source Sans 3"/>
                <w:b w:val="0"/>
                <w:sz w:val="15"/>
              </w:rPr>
              <w:t>Lohnsumme 500.000 EUR/Jahr, Sozialabgaben fließen</w:t>
            </w:r>
          </w:p>
        </w:tc>
        <w:tc>
          <w:tcPr>
            <w:tcW w:type="dxa" w:w="3437"/>
            <w:vAlign w:val="top"/>
          </w:tcPr>
          <w:p>
            <w:pPr>
              <w:jc w:val="left"/>
            </w:pPr>
            <w:r/>
            <w:r>
              <w:rPr>
                <w:rFonts w:ascii="Source Sans 3" w:hAnsi="Source Sans 3"/>
                <w:b w:val="0"/>
                <w:sz w:val="15"/>
              </w:rPr>
              <w:t>menschliche Arbeitsleistung zählt weiter, wenn vorhanden</w:t>
            </w:r>
          </w:p>
        </w:tc>
      </w:tr>
      <w:tr>
        <w:tc>
          <w:tcPr>
            <w:tcW w:type="dxa" w:w="3437"/>
            <w:vAlign w:val="top"/>
          </w:tcPr>
          <w:p>
            <w:pPr>
              <w:jc w:val="left"/>
            </w:pPr>
            <w:r/>
            <w:r>
              <w:rPr>
                <w:rFonts w:ascii="Source Sans 3" w:hAnsi="Source Sans 3"/>
                <w:b w:val="0"/>
                <w:sz w:val="15"/>
              </w:rPr>
              <w:t>Robotiksystem</w:t>
            </w:r>
          </w:p>
        </w:tc>
        <w:tc>
          <w:tcPr>
            <w:tcW w:type="dxa" w:w="3437"/>
            <w:vAlign w:val="top"/>
          </w:tcPr>
          <w:p>
            <w:pPr>
              <w:jc w:val="left"/>
            </w:pPr>
            <w:r/>
            <w:r>
              <w:rPr>
                <w:rFonts w:ascii="Source Sans 3" w:hAnsi="Source Sans 3"/>
                <w:b w:val="0"/>
                <w:sz w:val="15"/>
              </w:rPr>
              <w:t>keine lohnbasierten Sozialabgaben, obwohl Wertschöpfung entsteht</w:t>
            </w:r>
          </w:p>
        </w:tc>
        <w:tc>
          <w:tcPr>
            <w:tcW w:type="dxa" w:w="3437"/>
            <w:vAlign w:val="top"/>
          </w:tcPr>
          <w:p>
            <w:pPr>
              <w:jc w:val="left"/>
            </w:pPr>
            <w:r/>
            <w:r>
              <w:rPr>
                <w:rFonts w:ascii="Source Sans 3" w:hAnsi="Source Sans 3"/>
                <w:b w:val="0"/>
                <w:sz w:val="15"/>
              </w:rPr>
              <w:t>Maschinenwertschöpfung wird als Finanzierungsbasis einbezogen</w:t>
            </w:r>
          </w:p>
        </w:tc>
      </w:tr>
      <w:tr>
        <w:tc>
          <w:tcPr>
            <w:tcW w:type="dxa" w:w="3437"/>
            <w:vAlign w:val="top"/>
          </w:tcPr>
          <w:p>
            <w:pPr>
              <w:jc w:val="left"/>
            </w:pPr>
            <w:r/>
            <w:r>
              <w:rPr>
                <w:rFonts w:ascii="Source Sans 3" w:hAnsi="Source Sans 3"/>
                <w:b w:val="0"/>
                <w:sz w:val="15"/>
              </w:rPr>
              <w:t>Produktivität</w:t>
            </w:r>
          </w:p>
        </w:tc>
        <w:tc>
          <w:tcPr>
            <w:tcW w:type="dxa" w:w="3437"/>
            <w:vAlign w:val="top"/>
          </w:tcPr>
          <w:p>
            <w:pPr>
              <w:jc w:val="left"/>
            </w:pPr>
            <w:r/>
            <w:r>
              <w:rPr>
                <w:rFonts w:ascii="Source Sans 3" w:hAnsi="Source Sans 3"/>
                <w:b w:val="0"/>
                <w:sz w:val="15"/>
              </w:rPr>
              <w:t>höherer Gewinn, geringere Beitragsbasis</w:t>
            </w:r>
          </w:p>
        </w:tc>
        <w:tc>
          <w:tcPr>
            <w:tcW w:type="dxa" w:w="3437"/>
            <w:vAlign w:val="top"/>
          </w:tcPr>
          <w:p>
            <w:pPr>
              <w:jc w:val="left"/>
            </w:pPr>
            <w:r/>
            <w:r>
              <w:rPr>
                <w:rFonts w:ascii="Source Sans 3" w:hAnsi="Source Sans 3"/>
                <w:b w:val="0"/>
                <w:sz w:val="15"/>
              </w:rPr>
              <w:t>Gewinn + Wirkung + Beschäftigungsfolge werden gemeinsam betrachtet</w:t>
            </w:r>
          </w:p>
        </w:tc>
      </w:tr>
      <w:tr>
        <w:tc>
          <w:tcPr>
            <w:tcW w:type="dxa" w:w="3437"/>
            <w:vAlign w:val="top"/>
          </w:tcPr>
          <w:p>
            <w:pPr>
              <w:jc w:val="left"/>
            </w:pPr>
            <w:r/>
            <w:r>
              <w:rPr>
                <w:rFonts w:ascii="Source Sans 3" w:hAnsi="Source Sans 3"/>
                <w:b w:val="0"/>
                <w:sz w:val="15"/>
              </w:rPr>
              <w:t>Gesellschaftliche Folge</w:t>
            </w:r>
          </w:p>
        </w:tc>
        <w:tc>
          <w:tcPr>
            <w:tcW w:type="dxa" w:w="3437"/>
            <w:vAlign w:val="top"/>
          </w:tcPr>
          <w:p>
            <w:pPr>
              <w:jc w:val="left"/>
            </w:pPr>
            <w:r/>
            <w:r>
              <w:rPr>
                <w:rFonts w:ascii="Source Sans 3" w:hAnsi="Source Sans 3"/>
                <w:b w:val="0"/>
                <w:sz w:val="15"/>
              </w:rPr>
              <w:t>Renten-/Gesundheits-/Sozialbasis sinkt</w:t>
            </w:r>
          </w:p>
        </w:tc>
        <w:tc>
          <w:tcPr>
            <w:tcW w:type="dxa" w:w="3437"/>
            <w:vAlign w:val="top"/>
          </w:tcPr>
          <w:p>
            <w:pPr>
              <w:jc w:val="left"/>
            </w:pPr>
            <w:r/>
            <w:r>
              <w:rPr>
                <w:rFonts w:ascii="Source Sans 3" w:hAnsi="Source Sans 3"/>
                <w:b w:val="0"/>
                <w:sz w:val="15"/>
              </w:rPr>
              <w:t>Automatisierungsbeitrag speist Wirkungsdividenden-/Sozialfonds</w:t>
            </w:r>
          </w:p>
        </w:tc>
      </w:tr>
    </w:tbl>
    <w:p/>
    <w:tbl>
      <w:tblPr>
        <w:tblW w:type="auto" w:w="0"/>
        <w:jc w:val="center"/>
        <w:tblLook w:firstColumn="1" w:firstRow="1" w:lastColumn="0" w:lastRow="0" w:noHBand="0" w:noVBand="1" w:val="04A0"/>
      </w:tblPr>
      <w:tblGrid>
        <w:gridCol w:w="10312"/>
      </w:tblGrid>
      <w:tr>
        <w:tc>
          <w:tcPr>
            <w:tcW w:type="dxa" w:w="10312"/>
            <w:shd w:fill="FAF7F1"/>
          </w:tcPr>
          <w:p>
            <w:pPr>
              <w:jc w:val="left"/>
            </w:pPr>
            <w:r/>
            <w:r>
              <w:rPr>
                <w:rFonts w:ascii="Source Sans 3" w:hAnsi="Source Sans 3"/>
                <w:b/>
                <w:color w:val="0B1B33"/>
                <w:sz w:val="19"/>
              </w:rPr>
              <w:t>Modellhafte Arbeitsformel</w:t>
            </w:r>
          </w:p>
        </w:tc>
      </w:tr>
      <w:tr>
        <w:tc>
          <w:tcPr>
            <w:tcW w:type="dxa" w:w="10312"/>
            <w:shd w:fill="FAF7F1"/>
          </w:tcPr>
          <w:p>
            <w:pPr>
              <w:jc w:val="left"/>
            </w:pPr>
            <w:r/>
            <w:r>
              <w:rPr>
                <w:rFonts w:ascii="Source Sans 3" w:hAnsi="Source Sans 3"/>
                <w:b w:val="0"/>
                <w:color w:val="2B2A2C"/>
                <w:sz w:val="18"/>
              </w:rPr>
              <w:t>Automatisierungsbeitrag v0.1 = Maschinenwertschöpfung x Beitragssatz x Wirkungsfaktor. Der Wirkungsfaktor kann sinken, wenn das Unternehmen Beschäftigte weiterbildet, Arbeitszeitverkürzung finanziert, Wirkungseinkommen/Qualifizierung unterstützt oder positive Netto-Wirkung erzeugt. Diese Formel ist eine Diskussionsgrundlage.</w:t>
            </w:r>
          </w:p>
        </w:tc>
      </w:tr>
    </w:tbl>
    <w:p/>
    <w:p>
      <w:pPr>
        <w:pStyle w:val="Heading1"/>
      </w:pPr>
      <w:r>
        <w:t>2. Beispielrechnung: Wirkungskörperschaftsteuer</w:t>
      </w:r>
    </w:p>
    <w:p>
      <w:pPr>
        <w:spacing w:after="120" w:line="269" w:lineRule="auto"/>
      </w:pPr>
      <w:r>
        <w:t>Die Wirkungskörperschaftsteuer kann als Zuschlag/Abschlag auf eine bestehende Körperschaftsteuer gedacht werden. Beispielhaft: Ein Unternehmen hat 1 Mio. EUR steuerpflichtigen Gewinn. Der Grundsatz bleibt Gewinnbesteuerung. Zusätzlich wird ein Wirkungsfaktor aus NWI, T-SROI, Lieferkettenwirkung und Transformationsinvestitionen gebildet.</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pPr>
              <w:jc w:val="left"/>
            </w:pPr>
            <w:r/>
            <w:r>
              <w:rPr>
                <w:rFonts w:ascii="Source Sans 3" w:hAnsi="Source Sans 3"/>
                <w:b/>
                <w:color w:val="FFFFFF"/>
                <w:sz w:val="15"/>
              </w:rPr>
              <w:t>Fall</w:t>
            </w:r>
          </w:p>
        </w:tc>
        <w:tc>
          <w:tcPr>
            <w:tcW w:type="dxa" w:w="3437"/>
            <w:shd w:fill="0B1B33"/>
            <w:vAlign w:val="center"/>
          </w:tcPr>
          <w:p>
            <w:pPr>
              <w:jc w:val="left"/>
            </w:pPr>
            <w:r/>
            <w:r>
              <w:rPr>
                <w:rFonts w:ascii="Source Sans 3" w:hAnsi="Source Sans 3"/>
                <w:b/>
                <w:color w:val="FFFFFF"/>
                <w:sz w:val="15"/>
              </w:rPr>
              <w:t>Wirkungsprofil</w:t>
            </w:r>
          </w:p>
        </w:tc>
        <w:tc>
          <w:tcPr>
            <w:tcW w:type="dxa" w:w="3437"/>
            <w:shd w:fill="0B1B33"/>
            <w:vAlign w:val="center"/>
          </w:tcPr>
          <w:p>
            <w:pPr>
              <w:jc w:val="left"/>
            </w:pPr>
            <w:r/>
            <w:r>
              <w:rPr>
                <w:rFonts w:ascii="Source Sans 3" w:hAnsi="Source Sans 3"/>
                <w:b/>
                <w:color w:val="FFFFFF"/>
                <w:sz w:val="15"/>
              </w:rPr>
              <w:t>Mögliche steuerliche Wirkung</w:t>
            </w:r>
          </w:p>
        </w:tc>
      </w:tr>
      <w:tr>
        <w:tc>
          <w:tcPr>
            <w:tcW w:type="dxa" w:w="3437"/>
            <w:vAlign w:val="top"/>
          </w:tcPr>
          <w:p>
            <w:pPr>
              <w:jc w:val="left"/>
            </w:pPr>
            <w:r/>
            <w:r>
              <w:rPr>
                <w:rFonts w:ascii="Source Sans 3" w:hAnsi="Source Sans 3"/>
                <w:b w:val="0"/>
                <w:sz w:val="15"/>
              </w:rPr>
              <w:t>A</w:t>
            </w:r>
          </w:p>
        </w:tc>
        <w:tc>
          <w:tcPr>
            <w:tcW w:type="dxa" w:w="3437"/>
            <w:vAlign w:val="top"/>
          </w:tcPr>
          <w:p>
            <w:pPr>
              <w:jc w:val="left"/>
            </w:pPr>
            <w:r/>
            <w:r>
              <w:rPr>
                <w:rFonts w:ascii="Source Sans 3" w:hAnsi="Source Sans 3"/>
                <w:b w:val="0"/>
                <w:sz w:val="15"/>
              </w:rPr>
              <w:t>NWI positiv, hohe Transformationsinvestitionen, gute Datenqualität</w:t>
            </w:r>
          </w:p>
        </w:tc>
        <w:tc>
          <w:tcPr>
            <w:tcW w:type="dxa" w:w="3437"/>
            <w:vAlign w:val="top"/>
          </w:tcPr>
          <w:p>
            <w:pPr>
              <w:jc w:val="left"/>
            </w:pPr>
            <w:r/>
            <w:r>
              <w:rPr>
                <w:rFonts w:ascii="Source Sans 3" w:hAnsi="Source Sans 3"/>
                <w:b w:val="0"/>
                <w:sz w:val="15"/>
              </w:rPr>
              <w:t>Steuergutschrift oder Fondsbonus</w:t>
            </w:r>
          </w:p>
        </w:tc>
      </w:tr>
      <w:tr>
        <w:tc>
          <w:tcPr>
            <w:tcW w:type="dxa" w:w="3437"/>
            <w:vAlign w:val="top"/>
          </w:tcPr>
          <w:p>
            <w:pPr>
              <w:jc w:val="left"/>
            </w:pPr>
            <w:r/>
            <w:r>
              <w:rPr>
                <w:rFonts w:ascii="Source Sans 3" w:hAnsi="Source Sans 3"/>
                <w:b w:val="0"/>
                <w:sz w:val="15"/>
              </w:rPr>
              <w:t>B</w:t>
            </w:r>
          </w:p>
        </w:tc>
        <w:tc>
          <w:tcPr>
            <w:tcW w:type="dxa" w:w="3437"/>
            <w:vAlign w:val="top"/>
          </w:tcPr>
          <w:p>
            <w:pPr>
              <w:jc w:val="left"/>
            </w:pPr>
            <w:r/>
            <w:r>
              <w:rPr>
                <w:rFonts w:ascii="Source Sans 3" w:hAnsi="Source Sans 3"/>
                <w:b w:val="0"/>
                <w:sz w:val="15"/>
              </w:rPr>
              <w:t>neutraler NWI, solide Daten, keine roten Linien</w:t>
            </w:r>
          </w:p>
        </w:tc>
        <w:tc>
          <w:tcPr>
            <w:tcW w:type="dxa" w:w="3437"/>
            <w:vAlign w:val="top"/>
          </w:tcPr>
          <w:p>
            <w:pPr>
              <w:jc w:val="left"/>
            </w:pPr>
            <w:r/>
            <w:r>
              <w:rPr>
                <w:rFonts w:ascii="Source Sans 3" w:hAnsi="Source Sans 3"/>
                <w:b w:val="0"/>
                <w:sz w:val="15"/>
              </w:rPr>
              <w:t>Regelbesteuerung</w:t>
            </w:r>
          </w:p>
        </w:tc>
      </w:tr>
      <w:tr>
        <w:tc>
          <w:tcPr>
            <w:tcW w:type="dxa" w:w="3437"/>
            <w:vAlign w:val="top"/>
          </w:tcPr>
          <w:p>
            <w:pPr>
              <w:jc w:val="left"/>
            </w:pPr>
            <w:r/>
            <w:r>
              <w:rPr>
                <w:rFonts w:ascii="Source Sans 3" w:hAnsi="Source Sans 3"/>
                <w:b w:val="0"/>
                <w:sz w:val="15"/>
              </w:rPr>
              <w:t>C</w:t>
            </w:r>
          </w:p>
        </w:tc>
        <w:tc>
          <w:tcPr>
            <w:tcW w:type="dxa" w:w="3437"/>
            <w:vAlign w:val="top"/>
          </w:tcPr>
          <w:p>
            <w:pPr>
              <w:jc w:val="left"/>
            </w:pPr>
            <w:r/>
            <w:r>
              <w:rPr>
                <w:rFonts w:ascii="Source Sans 3" w:hAnsi="Source Sans 3"/>
                <w:b w:val="0"/>
                <w:sz w:val="15"/>
              </w:rPr>
              <w:t>negative Lieferkettenwirkung, hohe Externalisierung, rote Linien</w:t>
            </w:r>
          </w:p>
        </w:tc>
        <w:tc>
          <w:tcPr>
            <w:tcW w:type="dxa" w:w="3437"/>
            <w:vAlign w:val="top"/>
          </w:tcPr>
          <w:p>
            <w:pPr>
              <w:jc w:val="left"/>
            </w:pPr>
            <w:r/>
            <w:r>
              <w:rPr>
                <w:rFonts w:ascii="Source Sans 3" w:hAnsi="Source Sans 3"/>
                <w:b w:val="0"/>
                <w:sz w:val="15"/>
              </w:rPr>
              <w:t>Wirkungszuschlag und Fondsbeitrag</w:t>
            </w:r>
          </w:p>
        </w:tc>
      </w:tr>
    </w:tbl>
    <w:p/>
    <w:p>
      <w:pPr>
        <w:pStyle w:val="Heading1"/>
      </w:pPr>
      <w:r>
        <w:t>3. Fondsallokationsmodell</w:t>
      </w:r>
    </w:p>
    <w:p>
      <w:pPr>
        <w:spacing w:after="120" w:line="269" w:lineRule="auto"/>
      </w:pPr>
      <w:r>
        <w:t>Mittel aus Wirkungssteuern, Automatisierungsbeiträgen, Kapitalwirkungsabgaben und öffentlichen Haushalten können in zweckgebundene Wirkungsfonds fließen. Entscheidend ist nicht Zweckbindung im alten Sinn, sondern transparente Wirkungskontrolle.</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pPr>
              <w:jc w:val="left"/>
            </w:pPr>
            <w:r/>
            <w:r>
              <w:rPr>
                <w:rFonts w:ascii="Source Sans 3" w:hAnsi="Source Sans 3"/>
                <w:b/>
                <w:color w:val="FFFFFF"/>
                <w:sz w:val="14"/>
              </w:rPr>
              <w:t>Mittelquelle</w:t>
            </w:r>
          </w:p>
        </w:tc>
        <w:tc>
          <w:tcPr>
            <w:tcW w:type="dxa" w:w="3437"/>
            <w:shd w:fill="0B1B33"/>
            <w:vAlign w:val="center"/>
          </w:tcPr>
          <w:p>
            <w:pPr>
              <w:jc w:val="left"/>
            </w:pPr>
            <w:r/>
            <w:r>
              <w:rPr>
                <w:rFonts w:ascii="Source Sans 3" w:hAnsi="Source Sans 3"/>
                <w:b/>
                <w:color w:val="FFFFFF"/>
                <w:sz w:val="14"/>
              </w:rPr>
              <w:t>Fonds</w:t>
            </w:r>
          </w:p>
        </w:tc>
        <w:tc>
          <w:tcPr>
            <w:tcW w:type="dxa" w:w="3437"/>
            <w:shd w:fill="0B1B33"/>
            <w:vAlign w:val="center"/>
          </w:tcPr>
          <w:p>
            <w:pPr>
              <w:jc w:val="left"/>
            </w:pPr>
            <w:r/>
            <w:r>
              <w:rPr>
                <w:rFonts w:ascii="Source Sans 3" w:hAnsi="Source Sans 3"/>
                <w:b/>
                <w:color w:val="FFFFFF"/>
                <w:sz w:val="14"/>
              </w:rPr>
              <w:t>Wirkungsprüfung</w:t>
            </w:r>
          </w:p>
        </w:tc>
      </w:tr>
      <w:tr>
        <w:tc>
          <w:tcPr>
            <w:tcW w:type="dxa" w:w="3437"/>
            <w:vAlign w:val="top"/>
          </w:tcPr>
          <w:p>
            <w:pPr>
              <w:jc w:val="left"/>
            </w:pPr>
            <w:r/>
            <w:r>
              <w:rPr>
                <w:rFonts w:ascii="Source Sans 3" w:hAnsi="Source Sans 3"/>
                <w:b w:val="0"/>
                <w:sz w:val="14"/>
              </w:rPr>
              <w:t>WUStG-Malus schädlicher Produkte</w:t>
            </w:r>
          </w:p>
        </w:tc>
        <w:tc>
          <w:tcPr>
            <w:tcW w:type="dxa" w:w="3437"/>
            <w:vAlign w:val="top"/>
          </w:tcPr>
          <w:p>
            <w:pPr>
              <w:jc w:val="left"/>
            </w:pPr>
            <w:r/>
            <w:r>
              <w:rPr>
                <w:rFonts w:ascii="Source Sans 3" w:hAnsi="Source Sans 3"/>
                <w:b w:val="0"/>
                <w:sz w:val="14"/>
              </w:rPr>
              <w:t>Regenerationsfonds, Gesundheitsfonds, Produkttransformationsfonds</w:t>
            </w:r>
          </w:p>
        </w:tc>
        <w:tc>
          <w:tcPr>
            <w:tcW w:type="dxa" w:w="3437"/>
            <w:vAlign w:val="top"/>
          </w:tcPr>
          <w:p>
            <w:pPr>
              <w:jc w:val="left"/>
            </w:pPr>
            <w:r/>
            <w:r>
              <w:rPr>
                <w:rFonts w:ascii="Source Sans 3" w:hAnsi="Source Sans 3"/>
                <w:b w:val="0"/>
                <w:sz w:val="14"/>
              </w:rPr>
              <w:t>NWI Produkt, T-SROI Transformation, rote Linien</w:t>
            </w:r>
          </w:p>
        </w:tc>
      </w:tr>
      <w:tr>
        <w:tc>
          <w:tcPr>
            <w:tcW w:type="dxa" w:w="3437"/>
            <w:vAlign w:val="top"/>
          </w:tcPr>
          <w:p>
            <w:pPr>
              <w:jc w:val="left"/>
            </w:pPr>
            <w:r/>
            <w:r>
              <w:rPr>
                <w:rFonts w:ascii="Source Sans 3" w:hAnsi="Source Sans 3"/>
                <w:b w:val="0"/>
                <w:sz w:val="14"/>
              </w:rPr>
              <w:t>Automatisierungsbeitrag</w:t>
            </w:r>
          </w:p>
        </w:tc>
        <w:tc>
          <w:tcPr>
            <w:tcW w:type="dxa" w:w="3437"/>
            <w:vAlign w:val="top"/>
          </w:tcPr>
          <w:p>
            <w:pPr>
              <w:jc w:val="left"/>
            </w:pPr>
            <w:r/>
            <w:r>
              <w:rPr>
                <w:rFonts w:ascii="Source Sans 3" w:hAnsi="Source Sans 3"/>
                <w:b w:val="0"/>
                <w:sz w:val="14"/>
              </w:rPr>
              <w:t>Wirkungsdividendenfonds, Bildungs-/Qualifizierungsfonds, Rentenfonds</w:t>
            </w:r>
          </w:p>
        </w:tc>
        <w:tc>
          <w:tcPr>
            <w:tcW w:type="dxa" w:w="3437"/>
            <w:vAlign w:val="top"/>
          </w:tcPr>
          <w:p>
            <w:pPr>
              <w:jc w:val="left"/>
            </w:pPr>
            <w:r/>
            <w:r>
              <w:rPr>
                <w:rFonts w:ascii="Source Sans 3" w:hAnsi="Source Sans 3"/>
                <w:b w:val="0"/>
                <w:sz w:val="14"/>
              </w:rPr>
              <w:t>Beschäftigungswirkung, Produktivität, Sozialstabilität</w:t>
            </w:r>
          </w:p>
        </w:tc>
      </w:tr>
      <w:tr>
        <w:tc>
          <w:tcPr>
            <w:tcW w:type="dxa" w:w="3437"/>
            <w:vAlign w:val="top"/>
          </w:tcPr>
          <w:p>
            <w:pPr>
              <w:jc w:val="left"/>
            </w:pPr>
            <w:r/>
            <w:r>
              <w:rPr>
                <w:rFonts w:ascii="Source Sans 3" w:hAnsi="Source Sans 3"/>
                <w:b w:val="0"/>
                <w:sz w:val="14"/>
              </w:rPr>
              <w:t>Wirkungsvermögen-/Erbschaftsbeitrag</w:t>
            </w:r>
          </w:p>
        </w:tc>
        <w:tc>
          <w:tcPr>
            <w:tcW w:type="dxa" w:w="3437"/>
            <w:vAlign w:val="top"/>
          </w:tcPr>
          <w:p>
            <w:pPr>
              <w:jc w:val="left"/>
            </w:pPr>
            <w:r/>
            <w:r>
              <w:rPr>
                <w:rFonts w:ascii="Source Sans 3" w:hAnsi="Source Sans 3"/>
                <w:b w:val="0"/>
                <w:sz w:val="14"/>
              </w:rPr>
              <w:t>Demokratiefonds, Bildungsfonds, Regionalfonds, Innovationsfonds</w:t>
            </w:r>
          </w:p>
        </w:tc>
        <w:tc>
          <w:tcPr>
            <w:tcW w:type="dxa" w:w="3437"/>
            <w:vAlign w:val="top"/>
          </w:tcPr>
          <w:p>
            <w:pPr>
              <w:jc w:val="left"/>
            </w:pPr>
            <w:r/>
            <w:r>
              <w:rPr>
                <w:rFonts w:ascii="Source Sans 3" w:hAnsi="Source Sans 3"/>
                <w:b w:val="0"/>
                <w:sz w:val="14"/>
              </w:rPr>
              <w:t>Kapitalwirkung, Teilhabe, Konzentrationsrisiko</w:t>
            </w:r>
          </w:p>
        </w:tc>
      </w:tr>
      <w:tr>
        <w:tc>
          <w:tcPr>
            <w:tcW w:type="dxa" w:w="3437"/>
            <w:vAlign w:val="top"/>
          </w:tcPr>
          <w:p>
            <w:pPr>
              <w:jc w:val="left"/>
            </w:pPr>
            <w:r/>
            <w:r>
              <w:rPr>
                <w:rFonts w:ascii="Source Sans 3" w:hAnsi="Source Sans 3"/>
                <w:b w:val="0"/>
                <w:sz w:val="14"/>
              </w:rPr>
              <w:t>Wirkungsgewerbesteuer-Komponente</w:t>
            </w:r>
          </w:p>
        </w:tc>
        <w:tc>
          <w:tcPr>
            <w:tcW w:type="dxa" w:w="3437"/>
            <w:vAlign w:val="top"/>
          </w:tcPr>
          <w:p>
            <w:pPr>
              <w:jc w:val="left"/>
            </w:pPr>
            <w:r/>
            <w:r>
              <w:rPr>
                <w:rFonts w:ascii="Source Sans 3" w:hAnsi="Source Sans 3"/>
                <w:b w:val="0"/>
                <w:sz w:val="14"/>
              </w:rPr>
              <w:t>Kommunaler Wirkungsfonds</w:t>
            </w:r>
          </w:p>
        </w:tc>
        <w:tc>
          <w:tcPr>
            <w:tcW w:type="dxa" w:w="3437"/>
            <w:vAlign w:val="top"/>
          </w:tcPr>
          <w:p>
            <w:pPr>
              <w:jc w:val="left"/>
            </w:pPr>
            <w:r/>
            <w:r>
              <w:rPr>
                <w:rFonts w:ascii="Source Sans 3" w:hAnsi="Source Sans 3"/>
                <w:b w:val="0"/>
                <w:sz w:val="14"/>
              </w:rPr>
              <w:t>Quartierswirkung, Infrastruktur, lokale Resilienz</w:t>
            </w:r>
          </w:p>
        </w:tc>
      </w:tr>
    </w:tbl>
    <w:p/>
    <w:p>
      <w:pPr>
        <w:pStyle w:val="Heading1"/>
      </w:pPr>
      <w:r>
        <w:t>4. Dossierlandkarte für künftige Ausarbeitung</w:t>
      </w:r>
    </w:p>
    <w:p>
      <w:pPr>
        <w:pStyle w:val="ListBullet"/>
        <w:spacing w:after="40"/>
      </w:pPr>
      <w:r>
        <w:t>Detailkonzept und Dossier Wirkungskörperschaftsteuer</w:t>
      </w:r>
    </w:p>
    <w:p>
      <w:pPr>
        <w:pStyle w:val="ListBullet"/>
        <w:spacing w:after="40"/>
      </w:pPr>
      <w:r>
        <w:t>Detailkonzept und Dossier Wirkungsgewerbesteuer</w:t>
      </w:r>
    </w:p>
    <w:p>
      <w:pPr>
        <w:pStyle w:val="ListBullet"/>
        <w:spacing w:after="40"/>
      </w:pPr>
      <w:r>
        <w:t>Detailkonzept und Dossier Automatisierungsbeitrag und Sozialabgaben-Entkopplung</w:t>
      </w:r>
    </w:p>
    <w:p>
      <w:pPr>
        <w:pStyle w:val="ListBullet"/>
        <w:spacing w:after="40"/>
      </w:pPr>
      <w:r>
        <w:t>Detailkonzept und Dossier Wirkungsvermögensteuer / Wirkungserbschaftsteuer</w:t>
      </w:r>
    </w:p>
    <w:p>
      <w:pPr>
        <w:pStyle w:val="ListBullet"/>
        <w:spacing w:after="40"/>
      </w:pPr>
      <w:r>
        <w:t>Detailkonzept und Dossier Wirkungsfonds Dacharchitektur</w:t>
      </w:r>
    </w:p>
    <w:p>
      <w:pPr>
        <w:pStyle w:val="ListBullet"/>
        <w:spacing w:after="40"/>
      </w:pPr>
      <w:r>
        <w:t>Detailkonzept und Dossier Wirkungsdividendenfonds</w:t>
      </w:r>
    </w:p>
    <w:p>
      <w:pPr>
        <w:pStyle w:val="ListBullet"/>
        <w:spacing w:after="40"/>
      </w:pPr>
      <w:r>
        <w:t>Detailkonzept und Dossier Gesundheitswirkungsfonds</w:t>
      </w:r>
    </w:p>
    <w:p>
      <w:pPr>
        <w:pStyle w:val="ListBullet"/>
        <w:spacing w:after="40"/>
      </w:pPr>
      <w:r>
        <w:t>Detailkonzept und Dossier Bildungswirkungsfonds</w:t>
      </w:r>
    </w:p>
    <w:p>
      <w:pPr>
        <w:pStyle w:val="ListBullet"/>
        <w:spacing w:after="40"/>
      </w:pPr>
      <w:r>
        <w:t>Detailkonzept und Dossier Wohnwirkungsfonds</w:t>
      </w:r>
    </w:p>
    <w:p>
      <w:pPr>
        <w:pStyle w:val="ListBullet"/>
        <w:spacing w:after="40"/>
      </w:pPr>
      <w:r>
        <w:t>Detailkonzept und Dossier Demokratie- und Medienwirkungsfonds</w:t>
      </w:r>
    </w:p>
    <w:p>
      <w:pPr>
        <w:pStyle w:val="Heading1"/>
      </w:pPr>
      <w:r>
        <w:t>5. Website-Umsetzung</w:t>
      </w:r>
    </w:p>
    <w:p>
      <w:pPr>
        <w:spacing w:after="120" w:line="269" w:lineRule="auto"/>
      </w:pPr>
      <w:r>
        <w:t>Die Website sollte dieses Thema als neues Querschnittsportal führen: Finanzierbarkeit &amp; Wirkungsfonds. Es sollte unter Finanzsystem &amp; Kapital liegen, aber in der Hauptnavigation aller betreffenden Portale als Finanzierungsschicht erscheinen. Jedes Portal zeigt, welcher Fonds, welche Steuer und welcher Rechner relevant ist.</w:t>
      </w:r>
    </w:p>
    <w:p>
      <w:pPr>
        <w:pStyle w:val="Heading1"/>
      </w:pPr>
      <w:r>
        <w:t>Quellen und Referenzrahmen</w:t>
      </w:r>
    </w:p>
    <w:p>
      <w:pPr>
        <w:pStyle w:val="ListBullet"/>
      </w:pPr>
      <w:r>
        <w:t xml:space="preserve">EBA - Guidelines on management of ESG risks: </w:t>
      </w:r>
      <w:hyperlink r:id="rId9">
        <w:r>
          <w:rPr>
            <w:color w:val="2D7D5C"/>
            <w:u w:val="single"/>
          </w:rPr>
          <w:t>https://www.eba.europa.eu/activities/single-rulebook/regulatory-activities/sustainable-finance/guidelines-management-esg-risks</w:t>
        </w:r>
      </w:hyperlink>
    </w:p>
    <w:p>
      <w:pPr>
        <w:pStyle w:val="ListBullet"/>
      </w:pPr>
      <w:r>
        <w:t xml:space="preserve">EBA - Guidelines on loan origination and monitoring: </w:t>
      </w:r>
      <w:hyperlink r:id="rId10">
        <w:r>
          <w:rPr>
            <w:color w:val="2D7D5C"/>
            <w:u w:val="single"/>
          </w:rPr>
          <w:t>https://www.eba.europa.eu/activities/single-rulebook/regulatory-activities/credit-risk/guidelines-loan-origination-and-monitoring</w:t>
        </w:r>
      </w:hyperlink>
    </w:p>
    <w:p>
      <w:pPr>
        <w:pStyle w:val="ListBullet"/>
      </w:pPr>
      <w:r>
        <w:t xml:space="preserve">European Commission - Corporate sustainability reporting (CSRD/ESRS): </w:t>
      </w:r>
      <w:hyperlink r:id="rId11">
        <w:r>
          <w:rPr>
            <w:color w:val="2D7D5C"/>
            <w:u w:val="single"/>
          </w:rPr>
          <w:t>https://finance.ec.europa.eu/financial-markets/company-reporting-and-auditing/company-reporting/corporate-sustainability-reporting_en</w:t>
        </w:r>
      </w:hyperlink>
    </w:p>
    <w:p>
      <w:pPr>
        <w:pStyle w:val="ListBullet"/>
      </w:pPr>
      <w:r>
        <w:t xml:space="preserve">EFRAG - Sustainability reporting / ESRS: </w:t>
      </w:r>
      <w:hyperlink r:id="rId12">
        <w:r>
          <w:rPr>
            <w:color w:val="2D7D5C"/>
            <w:u w:val="single"/>
          </w:rPr>
          <w:t>https://www.efrag.org/en/sustainability-reporting/about-sustainability-reporting</w:t>
        </w:r>
      </w:hyperlink>
    </w:p>
    <w:p>
      <w:pPr>
        <w:pStyle w:val="ListBullet"/>
      </w:pPr>
      <w:r>
        <w:t xml:space="preserve">European Commission - EU Taxonomy: </w:t>
      </w:r>
      <w:hyperlink r:id="rId13">
        <w:r>
          <w:rPr>
            <w:color w:val="2D7D5C"/>
            <w:u w:val="single"/>
          </w:rPr>
          <w:t>https://finance.ec.europa.eu/sustainable-finance/tools-and-standards/eu-taxonomy-sustainable-activities_en</w:t>
        </w:r>
      </w:hyperlink>
    </w:p>
    <w:p>
      <w:pPr>
        <w:pStyle w:val="ListBullet"/>
      </w:pPr>
      <w:r>
        <w:t xml:space="preserve">ESMA - ESG rating providers: </w:t>
      </w:r>
      <w:hyperlink r:id="rId14">
        <w:r>
          <w:rPr>
            <w:color w:val="2D7D5C"/>
            <w:u w:val="single"/>
          </w:rPr>
          <w:t>https://www.esma.europa.eu/esmas-activities/investors-and-issuers/esg-rating-providers</w:t>
        </w:r>
      </w:hyperlink>
    </w:p>
    <w:p>
      <w:pPr>
        <w:pStyle w:val="ListBullet"/>
      </w:pPr>
      <w:r>
        <w:t xml:space="preserve">Regulation (EU) 2024/3005 - ESG ratings: </w:t>
      </w:r>
      <w:hyperlink r:id="rId15">
        <w:r>
          <w:rPr>
            <w:color w:val="2D7D5C"/>
            <w:u w:val="single"/>
          </w:rPr>
          <w:t>https://eur-lex.europa.eu/legal-content/EN/TXT/PDF/?uri=OJ:L_202403005</w:t>
        </w:r>
      </w:hyperlink>
    </w:p>
    <w:p>
      <w:pPr>
        <w:pStyle w:val="ListBullet"/>
      </w:pPr>
      <w:r>
        <w:t xml:space="preserve">EIOPA - Managing sustainability risks: </w:t>
      </w:r>
      <w:hyperlink r:id="rId16">
        <w:r>
          <w:rPr>
            <w:color w:val="2D7D5C"/>
            <w:u w:val="single"/>
          </w:rPr>
          <w:t>https://www.eiopa.europa.eu/managing-sustainability-risks_en</w:t>
        </w:r>
      </w:hyperlink>
    </w:p>
    <w:p>
      <w:pPr>
        <w:pStyle w:val="ListBullet"/>
      </w:pPr>
      <w:r>
        <w:t xml:space="preserve">European Commission - Corporate sustainability due diligence: </w:t>
      </w:r>
      <w:hyperlink r:id="rId17">
        <w:r>
          <w:rPr>
            <w:color w:val="2D7D5C"/>
            <w:u w:val="single"/>
          </w:rPr>
          <w:t>https://commission.europa.eu/topics/business-and-industry/doing-business-eu/sustainability-due-diligence-responsible-business/corporate-sustainability-due-diligence_en</w:t>
        </w:r>
      </w:hyperlink>
    </w:p>
    <w:p>
      <w:pPr>
        <w:pStyle w:val="ListBullet"/>
      </w:pPr>
      <w:r>
        <w:t xml:space="preserve">OECD Due Diligence Guidance for Responsible Business Conduct: </w:t>
      </w:r>
      <w:hyperlink r:id="rId18">
        <w:r>
          <w:rPr>
            <w:color w:val="2D7D5C"/>
            <w:u w:val="single"/>
          </w:rPr>
          <w:t>https://www.oecd.org/en/publications/2018/02/oecd-due-diligence-guidance-for-responsible-business-conduct_c669bd57.html</w:t>
        </w:r>
      </w:hyperlink>
    </w:p>
    <w:p>
      <w:pPr>
        <w:pStyle w:val="ListBullet"/>
      </w:pPr>
      <w:r>
        <w:t xml:space="preserve">Wirkungsökonomie - SDG-/SDG+-Referenzrahmen: </w:t>
      </w:r>
      <w:hyperlink r:id="rId19">
        <w:r>
          <w:rPr>
            <w:color w:val="2D7D5C"/>
            <w:u w:val="single"/>
          </w:rPr>
          <w:t>https://wirkungsoekonomie.de/verstehen/sdgs-sdgplus/</w:t>
        </w:r>
      </w:hyperlink>
    </w:p>
    <w:p>
      <w:pPr>
        <w:pStyle w:val="ListBullet"/>
      </w:pPr>
      <w:r>
        <w:t xml:space="preserve">Wirkungsökonomie - Online-Buch: </w:t>
      </w:r>
      <w:hyperlink r:id="rId20">
        <w:r>
          <w:rPr>
            <w:color w:val="2D7D5C"/>
            <w:u w:val="single"/>
          </w:rPr>
          <w:t>https://wirkungsoekonomie.de/werkstatt/online-buch/</w:t>
        </w:r>
      </w:hyperlink>
    </w:p>
    <w:p>
      <w:pPr>
        <w:pStyle w:val="Heading1"/>
      </w:pPr>
      <w:r>
        <w:t>6. Beispiel 3: Wirkungsvermögen und Erbschaft</w:t>
      </w:r>
    </w:p>
    <w:p>
      <w:pPr>
        <w:spacing w:after="120" w:line="269" w:lineRule="auto"/>
      </w:pPr>
      <w:r>
        <w:t>Szenario: Ein Vermögen von 20 Mio. EUR besteht aus einem Familienunternehmen, vermieteten Immobilien und Finanzanlagen. Die alte Steuerlogik fragt nach Wert, Freibeträgen und Gestaltung. Die WÖk fragt zusätzlich: Was bewirkt dieses Vermögen?</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r/>
            <w:r>
              <w:rPr>
                <w:rFonts w:ascii="Source Sans 3" w:hAnsi="Source Sans 3"/>
                <w:b/>
                <w:color w:val="FFFFFF"/>
                <w:sz w:val="14"/>
              </w:rPr>
              <w:t>Vermögensteil</w:t>
            </w:r>
          </w:p>
        </w:tc>
        <w:tc>
          <w:tcPr>
            <w:tcW w:type="dxa" w:w="3437"/>
            <w:shd w:fill="0B1B33"/>
            <w:vAlign w:val="center"/>
          </w:tcPr>
          <w:p>
            <w:r/>
            <w:r>
              <w:rPr>
                <w:rFonts w:ascii="Source Sans 3" w:hAnsi="Source Sans 3"/>
                <w:b/>
                <w:color w:val="FFFFFF"/>
                <w:sz w:val="14"/>
              </w:rPr>
              <w:t>Wirkungsprofil</w:t>
            </w:r>
          </w:p>
        </w:tc>
        <w:tc>
          <w:tcPr>
            <w:tcW w:type="dxa" w:w="3437"/>
            <w:shd w:fill="0B1B33"/>
            <w:vAlign w:val="center"/>
          </w:tcPr>
          <w:p>
            <w:r/>
            <w:r>
              <w:rPr>
                <w:rFonts w:ascii="Source Sans 3" w:hAnsi="Source Sans 3"/>
                <w:b/>
                <w:color w:val="FFFFFF"/>
                <w:sz w:val="14"/>
              </w:rPr>
              <w:t>Mögliche WÖk-Behandlung</w:t>
            </w:r>
          </w:p>
        </w:tc>
      </w:tr>
      <w:tr>
        <w:tc>
          <w:tcPr>
            <w:tcW w:type="dxa" w:w="3437"/>
          </w:tcPr>
          <w:p>
            <w:r/>
            <w:r>
              <w:rPr>
                <w:rFonts w:ascii="Source Sans 3" w:hAnsi="Source Sans 3"/>
                <w:b w:val="0"/>
                <w:sz w:val="14"/>
              </w:rPr>
              <w:t>Familienunternehmen</w:t>
            </w:r>
          </w:p>
        </w:tc>
        <w:tc>
          <w:tcPr>
            <w:tcW w:type="dxa" w:w="3437"/>
          </w:tcPr>
          <w:p>
            <w:r/>
            <w:r>
              <w:rPr>
                <w:rFonts w:ascii="Source Sans 3" w:hAnsi="Source Sans 3"/>
                <w:b w:val="0"/>
                <w:sz w:val="14"/>
              </w:rPr>
              <w:t>produktiv, Beschäftigung, aber hoher Energieverbrauch</w:t>
            </w:r>
          </w:p>
        </w:tc>
        <w:tc>
          <w:tcPr>
            <w:tcW w:type="dxa" w:w="3437"/>
          </w:tcPr>
          <w:p>
            <w:r/>
            <w:r>
              <w:rPr>
                <w:rFonts w:ascii="Source Sans 3" w:hAnsi="Source Sans 3"/>
                <w:b w:val="0"/>
                <w:sz w:val="14"/>
              </w:rPr>
              <w:t>Begünstigung bei Transformationsplan und Wirkungsinvestitionen</w:t>
            </w:r>
          </w:p>
        </w:tc>
      </w:tr>
      <w:tr>
        <w:tc>
          <w:tcPr>
            <w:tcW w:type="dxa" w:w="3437"/>
          </w:tcPr>
          <w:p>
            <w:r/>
            <w:r>
              <w:rPr>
                <w:rFonts w:ascii="Source Sans 3" w:hAnsi="Source Sans 3"/>
                <w:b w:val="0"/>
                <w:sz w:val="14"/>
              </w:rPr>
              <w:t>Wohnimmobilien</w:t>
            </w:r>
          </w:p>
        </w:tc>
        <w:tc>
          <w:tcPr>
            <w:tcW w:type="dxa" w:w="3437"/>
          </w:tcPr>
          <w:p>
            <w:r/>
            <w:r>
              <w:rPr>
                <w:rFonts w:ascii="Source Sans 3" w:hAnsi="Source Sans 3"/>
                <w:b w:val="0"/>
                <w:sz w:val="14"/>
              </w:rPr>
              <w:t>faire Mieten und Sanierung oder Spekulation/Leerstand</w:t>
            </w:r>
          </w:p>
        </w:tc>
        <w:tc>
          <w:tcPr>
            <w:tcW w:type="dxa" w:w="3437"/>
          </w:tcPr>
          <w:p>
            <w:r/>
            <w:r>
              <w:rPr>
                <w:rFonts w:ascii="Source Sans 3" w:hAnsi="Source Sans 3"/>
                <w:b w:val="0"/>
                <w:sz w:val="14"/>
              </w:rPr>
              <w:t>WIX-Wohn entscheidet über Fondsbeitrag oder Entlastung</w:t>
            </w:r>
          </w:p>
        </w:tc>
      </w:tr>
      <w:tr>
        <w:tc>
          <w:tcPr>
            <w:tcW w:type="dxa" w:w="3437"/>
          </w:tcPr>
          <w:p>
            <w:r/>
            <w:r>
              <w:rPr>
                <w:rFonts w:ascii="Source Sans 3" w:hAnsi="Source Sans 3"/>
                <w:b w:val="0"/>
                <w:sz w:val="14"/>
              </w:rPr>
              <w:t>Finanzanlagen</w:t>
            </w:r>
          </w:p>
        </w:tc>
        <w:tc>
          <w:tcPr>
            <w:tcW w:type="dxa" w:w="3437"/>
          </w:tcPr>
          <w:p>
            <w:r/>
            <w:r>
              <w:rPr>
                <w:rFonts w:ascii="Source Sans 3" w:hAnsi="Source Sans 3"/>
                <w:b w:val="0"/>
                <w:sz w:val="14"/>
              </w:rPr>
              <w:t>breit gestreut, teilweise fossil, teilweise transformativ</w:t>
            </w:r>
          </w:p>
        </w:tc>
        <w:tc>
          <w:tcPr>
            <w:tcW w:type="dxa" w:w="3437"/>
          </w:tcPr>
          <w:p>
            <w:r/>
            <w:r>
              <w:rPr>
                <w:rFonts w:ascii="Source Sans 3" w:hAnsi="Source Sans 3"/>
                <w:b w:val="0"/>
                <w:sz w:val="14"/>
              </w:rPr>
              <w:t>Kapitalwirkungsindex und Fondsumschichtung</w:t>
            </w:r>
          </w:p>
        </w:tc>
      </w:tr>
    </w:tbl>
    <w:p/>
    <w:p>
      <w:pPr>
        <w:pStyle w:val="Heading1"/>
      </w:pPr>
      <w:r>
        <w:t>7. Beispiel 4: Kommunaler Wirkungsfonds</w:t>
      </w:r>
    </w:p>
    <w:p>
      <w:pPr>
        <w:spacing w:after="120" w:line="269" w:lineRule="auto"/>
      </w:pPr>
      <w:r>
        <w:t>Eine Kommune finanziert einen Wohn- und Gesundheitsraum: energetische Sanierung, Hitzeschutz, Quartiersarbeit, Schulwege, Pflegepunkte und lokale Kultur. Klassisch wären viele Förderprogramme nötig. In der WÖk fließen Gewerbewirkungsbeiträge, Wohnwirkungsbeiträge und öffentliche Mittel in einen kommunalen Wirkungsfonds mit T-SROI-Prüfung.</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B33"/>
            <w:vAlign w:val="center"/>
          </w:tcPr>
          <w:p>
            <w:r/>
            <w:r>
              <w:rPr>
                <w:rFonts w:ascii="Source Sans 3" w:hAnsi="Source Sans 3"/>
                <w:b/>
                <w:color w:val="FFFFFF"/>
                <w:sz w:val="14"/>
              </w:rPr>
              <w:t>Input</w:t>
            </w:r>
          </w:p>
        </w:tc>
        <w:tc>
          <w:tcPr>
            <w:tcW w:type="dxa" w:w="3437"/>
            <w:shd w:fill="0B1B33"/>
            <w:vAlign w:val="center"/>
          </w:tcPr>
          <w:p>
            <w:r/>
            <w:r>
              <w:rPr>
                <w:rFonts w:ascii="Source Sans 3" w:hAnsi="Source Sans 3"/>
                <w:b/>
                <w:color w:val="FFFFFF"/>
                <w:sz w:val="14"/>
              </w:rPr>
              <w:t>Wirkungsziel</w:t>
            </w:r>
          </w:p>
        </w:tc>
        <w:tc>
          <w:tcPr>
            <w:tcW w:type="dxa" w:w="3437"/>
            <w:shd w:fill="0B1B33"/>
            <w:vAlign w:val="center"/>
          </w:tcPr>
          <w:p>
            <w:r/>
            <w:r>
              <w:rPr>
                <w:rFonts w:ascii="Source Sans 3" w:hAnsi="Source Sans 3"/>
                <w:b/>
                <w:color w:val="FFFFFF"/>
                <w:sz w:val="14"/>
              </w:rPr>
              <w:t>Messung</w:t>
            </w:r>
          </w:p>
        </w:tc>
      </w:tr>
      <w:tr>
        <w:tc>
          <w:tcPr>
            <w:tcW w:type="dxa" w:w="3437"/>
          </w:tcPr>
          <w:p>
            <w:r/>
            <w:r>
              <w:rPr>
                <w:rFonts w:ascii="Source Sans 3" w:hAnsi="Source Sans 3"/>
                <w:b w:val="0"/>
                <w:sz w:val="14"/>
              </w:rPr>
              <w:t>Sanierungsmittel</w:t>
            </w:r>
          </w:p>
        </w:tc>
        <w:tc>
          <w:tcPr>
            <w:tcW w:type="dxa" w:w="3437"/>
          </w:tcPr>
          <w:p>
            <w:r/>
            <w:r>
              <w:rPr>
                <w:rFonts w:ascii="Source Sans 3" w:hAnsi="Source Sans 3"/>
                <w:b w:val="0"/>
                <w:sz w:val="14"/>
              </w:rPr>
              <w:t>geringere Heizkosten und Emissionen</w:t>
            </w:r>
          </w:p>
        </w:tc>
        <w:tc>
          <w:tcPr>
            <w:tcW w:type="dxa" w:w="3437"/>
          </w:tcPr>
          <w:p>
            <w:r/>
            <w:r>
              <w:rPr>
                <w:rFonts w:ascii="Source Sans 3" w:hAnsi="Source Sans 3"/>
                <w:b w:val="0"/>
                <w:sz w:val="14"/>
              </w:rPr>
              <w:t>Energie, Warmmiete, CO2</w:t>
            </w:r>
          </w:p>
        </w:tc>
      </w:tr>
      <w:tr>
        <w:tc>
          <w:tcPr>
            <w:tcW w:type="dxa" w:w="3437"/>
          </w:tcPr>
          <w:p>
            <w:r/>
            <w:r>
              <w:rPr>
                <w:rFonts w:ascii="Source Sans 3" w:hAnsi="Source Sans 3"/>
                <w:b w:val="0"/>
                <w:sz w:val="14"/>
              </w:rPr>
              <w:t>Quartiersarbeit</w:t>
            </w:r>
          </w:p>
        </w:tc>
        <w:tc>
          <w:tcPr>
            <w:tcW w:type="dxa" w:w="3437"/>
          </w:tcPr>
          <w:p>
            <w:r/>
            <w:r>
              <w:rPr>
                <w:rFonts w:ascii="Source Sans 3" w:hAnsi="Source Sans 3"/>
                <w:b w:val="0"/>
                <w:sz w:val="14"/>
              </w:rPr>
              <w:t>mehr Zusammenhalt und Sicherheit</w:t>
            </w:r>
          </w:p>
        </w:tc>
        <w:tc>
          <w:tcPr>
            <w:tcW w:type="dxa" w:w="3437"/>
          </w:tcPr>
          <w:p>
            <w:r/>
            <w:r>
              <w:rPr>
                <w:rFonts w:ascii="Source Sans 3" w:hAnsi="Source Sans 3"/>
                <w:b w:val="0"/>
                <w:sz w:val="14"/>
              </w:rPr>
              <w:t>Teilhabedaten, Konflikte, Beteiligung</w:t>
            </w:r>
          </w:p>
        </w:tc>
      </w:tr>
      <w:tr>
        <w:tc>
          <w:tcPr>
            <w:tcW w:type="dxa" w:w="3437"/>
          </w:tcPr>
          <w:p>
            <w:r/>
            <w:r>
              <w:rPr>
                <w:rFonts w:ascii="Source Sans 3" w:hAnsi="Source Sans 3"/>
                <w:b w:val="0"/>
                <w:sz w:val="14"/>
              </w:rPr>
              <w:t>Gesundheitsprävention</w:t>
            </w:r>
          </w:p>
        </w:tc>
        <w:tc>
          <w:tcPr>
            <w:tcW w:type="dxa" w:w="3437"/>
          </w:tcPr>
          <w:p>
            <w:r/>
            <w:r>
              <w:rPr>
                <w:rFonts w:ascii="Source Sans 3" w:hAnsi="Source Sans 3"/>
                <w:b w:val="0"/>
                <w:sz w:val="14"/>
              </w:rPr>
              <w:t>weniger hitzebedingte Risiken</w:t>
            </w:r>
          </w:p>
        </w:tc>
        <w:tc>
          <w:tcPr>
            <w:tcW w:type="dxa" w:w="3437"/>
          </w:tcPr>
          <w:p>
            <w:r/>
            <w:r>
              <w:rPr>
                <w:rFonts w:ascii="Source Sans 3" w:hAnsi="Source Sans 3"/>
                <w:b w:val="0"/>
                <w:sz w:val="14"/>
              </w:rPr>
              <w:t>Hitzeinseln, vulnerable Gruppen, Gesundheitsindikatoren</w:t>
            </w:r>
          </w:p>
        </w:tc>
      </w:tr>
      <w:tr>
        <w:tc>
          <w:tcPr>
            <w:tcW w:type="dxa" w:w="3437"/>
          </w:tcPr>
          <w:p>
            <w:r/>
            <w:r>
              <w:rPr>
                <w:rFonts w:ascii="Source Sans 3" w:hAnsi="Source Sans 3"/>
                <w:b w:val="0"/>
                <w:sz w:val="14"/>
              </w:rPr>
              <w:t>Bildungsräume</w:t>
            </w:r>
          </w:p>
        </w:tc>
        <w:tc>
          <w:tcPr>
            <w:tcW w:type="dxa" w:w="3437"/>
          </w:tcPr>
          <w:p>
            <w:r/>
            <w:r>
              <w:rPr>
                <w:rFonts w:ascii="Source Sans 3" w:hAnsi="Source Sans 3"/>
                <w:b w:val="0"/>
                <w:sz w:val="14"/>
              </w:rPr>
              <w:t>bessere Lern- und Teilhabebedingungen</w:t>
            </w:r>
          </w:p>
        </w:tc>
        <w:tc>
          <w:tcPr>
            <w:tcW w:type="dxa" w:w="3437"/>
          </w:tcPr>
          <w:p>
            <w:r/>
            <w:r>
              <w:rPr>
                <w:rFonts w:ascii="Source Sans 3" w:hAnsi="Source Sans 3"/>
                <w:b w:val="0"/>
                <w:sz w:val="14"/>
              </w:rPr>
              <w:t>Nutzung, Zugang, Lernumfeld</w:t>
            </w:r>
          </w:p>
        </w:tc>
      </w:tr>
    </w:tbl>
    <w:p/>
    <w:p>
      <w:pPr>
        <w:pStyle w:val="Heading1"/>
      </w:pPr>
      <w:r>
        <w:t>8. Beispiel 5: Gesundheitswirkungsfonds</w:t>
      </w:r>
    </w:p>
    <w:p>
      <w:pPr>
        <w:spacing w:after="120" w:line="269" w:lineRule="auto"/>
      </w:pPr>
      <w:r>
        <w:t>Ein Gesundheitswirkungsfonds finanziert Prävention, mentale Gesundheit, Pflegeentlastung und kommunale Gesundheitsräume. Er wird nicht an Behandlungen gemessen, sondern an verhinderten Schäden, Lebensqualität, Teilhabe, Resilienz und langfristiger Kostenreduktion. Damit wird Prävention als Wirkleistung finanzierungsfähig.</w:t>
      </w:r>
    </w:p>
    <w:p>
      <w:pPr>
        <w:pStyle w:val="Heading1"/>
      </w:pPr>
      <w:r>
        <w:t>9. Beispiel 6: Wirkungsdividendenfonds</w:t>
      </w:r>
    </w:p>
    <w:p>
      <w:pPr>
        <w:spacing w:after="120" w:line="269" w:lineRule="auto"/>
      </w:pPr>
      <w:r>
        <w:t>Der Wirkungsdividendenfonds sammelt Beiträge aus automatisierter Wertschöpfung, Kapitalwirkung und Wirkungssteuern. Er finanziert Wirkungseinkommen, Qualifizierung, Teilhabe und soziale Stabilität. Wichtig ist: Er ersetzt nicht demokratische Sozialpolitik, sondern macht sichtbar, wo Wertschöpfung entsteht und welche Wirkung sie auf Gesellschaft hat.</w:t>
      </w:r>
    </w:p>
    <w:p>
      <w:pPr>
        <w:pStyle w:val="Heading1"/>
      </w:pPr>
      <w:r>
        <w:t>10. Fondsrechner - Arbeitsmodell</w:t>
      </w:r>
    </w:p>
    <w:tbl>
      <w:tblPr>
        <w:tblStyle w:val="TableGrid"/>
        <w:tblW w:type="auto" w:w="0"/>
        <w:jc w:val="center"/>
        <w:tblLook w:firstColumn="1" w:firstRow="1" w:lastColumn="0" w:lastRow="0" w:noHBand="0" w:noVBand="1" w:val="04A0"/>
      </w:tblPr>
      <w:tblGrid>
        <w:gridCol w:w="5156"/>
        <w:gridCol w:w="5156"/>
      </w:tblGrid>
      <w:tr>
        <w:tc>
          <w:tcPr>
            <w:tcW w:type="dxa" w:w="5156"/>
            <w:shd w:fill="0B1B33"/>
            <w:vAlign w:val="center"/>
          </w:tcPr>
          <w:p>
            <w:r/>
            <w:r>
              <w:rPr>
                <w:rFonts w:ascii="Source Sans 3" w:hAnsi="Source Sans 3"/>
                <w:b/>
                <w:color w:val="FFFFFF"/>
                <w:sz w:val="14"/>
              </w:rPr>
              <w:t>Eingabe</w:t>
            </w:r>
          </w:p>
        </w:tc>
        <w:tc>
          <w:tcPr>
            <w:tcW w:type="dxa" w:w="5156"/>
            <w:shd w:fill="0B1B33"/>
            <w:vAlign w:val="center"/>
          </w:tcPr>
          <w:p>
            <w:r/>
            <w:r>
              <w:rPr>
                <w:rFonts w:ascii="Source Sans 3" w:hAnsi="Source Sans 3"/>
                <w:b/>
                <w:color w:val="FFFFFF"/>
                <w:sz w:val="14"/>
              </w:rPr>
              <w:t>Beschreibung</w:t>
            </w:r>
          </w:p>
        </w:tc>
      </w:tr>
      <w:tr>
        <w:tc>
          <w:tcPr>
            <w:tcW w:type="dxa" w:w="5156"/>
          </w:tcPr>
          <w:p>
            <w:r/>
            <w:r>
              <w:rPr>
                <w:rFonts w:ascii="Source Sans 3" w:hAnsi="Source Sans 3"/>
                <w:b w:val="0"/>
                <w:sz w:val="14"/>
              </w:rPr>
              <w:t>Mittelquelle</w:t>
            </w:r>
          </w:p>
        </w:tc>
        <w:tc>
          <w:tcPr>
            <w:tcW w:type="dxa" w:w="5156"/>
          </w:tcPr>
          <w:p>
            <w:r/>
            <w:r>
              <w:rPr>
                <w:rFonts w:ascii="Source Sans 3" w:hAnsi="Source Sans 3"/>
                <w:b w:val="0"/>
                <w:sz w:val="14"/>
              </w:rPr>
              <w:t>WUStG, Automatisierungsbeitrag, WKapESt, WVeStG, öffentlicher Haushalt</w:t>
            </w:r>
          </w:p>
        </w:tc>
      </w:tr>
      <w:tr>
        <w:tc>
          <w:tcPr>
            <w:tcW w:type="dxa" w:w="5156"/>
          </w:tcPr>
          <w:p>
            <w:r/>
            <w:r>
              <w:rPr>
                <w:rFonts w:ascii="Source Sans 3" w:hAnsi="Source Sans 3"/>
                <w:b w:val="0"/>
                <w:sz w:val="14"/>
              </w:rPr>
              <w:t>Wirkungsfeld</w:t>
            </w:r>
          </w:p>
        </w:tc>
        <w:tc>
          <w:tcPr>
            <w:tcW w:type="dxa" w:w="5156"/>
          </w:tcPr>
          <w:p>
            <w:r/>
            <w:r>
              <w:rPr>
                <w:rFonts w:ascii="Source Sans 3" w:hAnsi="Source Sans 3"/>
                <w:b w:val="0"/>
                <w:sz w:val="14"/>
              </w:rPr>
              <w:t>Bildung, Gesundheit, Wohnen, Rente, Klima, Demokratie, Innovation</w:t>
            </w:r>
          </w:p>
        </w:tc>
      </w:tr>
      <w:tr>
        <w:tc>
          <w:tcPr>
            <w:tcW w:type="dxa" w:w="5156"/>
          </w:tcPr>
          <w:p>
            <w:r/>
            <w:r>
              <w:rPr>
                <w:rFonts w:ascii="Source Sans 3" w:hAnsi="Source Sans 3"/>
                <w:b w:val="0"/>
                <w:sz w:val="14"/>
              </w:rPr>
              <w:t>NWI-Ausgangslage</w:t>
            </w:r>
          </w:p>
        </w:tc>
        <w:tc>
          <w:tcPr>
            <w:tcW w:type="dxa" w:w="5156"/>
          </w:tcPr>
          <w:p>
            <w:r/>
            <w:r>
              <w:rPr>
                <w:rFonts w:ascii="Source Sans 3" w:hAnsi="Source Sans 3"/>
                <w:b w:val="0"/>
                <w:sz w:val="14"/>
              </w:rPr>
              <w:t>aktueller Netto-Wirkungszustand</w:t>
            </w:r>
          </w:p>
        </w:tc>
      </w:tr>
      <w:tr>
        <w:tc>
          <w:tcPr>
            <w:tcW w:type="dxa" w:w="5156"/>
          </w:tcPr>
          <w:p>
            <w:r/>
            <w:r>
              <w:rPr>
                <w:rFonts w:ascii="Source Sans 3" w:hAnsi="Source Sans 3"/>
                <w:b w:val="0"/>
                <w:sz w:val="14"/>
              </w:rPr>
              <w:t>T-SROI-Prognose</w:t>
            </w:r>
          </w:p>
        </w:tc>
        <w:tc>
          <w:tcPr>
            <w:tcW w:type="dxa" w:w="5156"/>
          </w:tcPr>
          <w:p>
            <w:r/>
            <w:r>
              <w:rPr>
                <w:rFonts w:ascii="Source Sans 3" w:hAnsi="Source Sans 3"/>
                <w:b w:val="0"/>
                <w:sz w:val="14"/>
              </w:rPr>
              <w:t>erwartete Transformationswirkung</w:t>
            </w:r>
          </w:p>
        </w:tc>
      </w:tr>
      <w:tr>
        <w:tc>
          <w:tcPr>
            <w:tcW w:type="dxa" w:w="5156"/>
          </w:tcPr>
          <w:p>
            <w:r/>
            <w:r>
              <w:rPr>
                <w:rFonts w:ascii="Source Sans 3" w:hAnsi="Source Sans 3"/>
                <w:b w:val="0"/>
                <w:sz w:val="14"/>
              </w:rPr>
              <w:t>Rote Linien</w:t>
            </w:r>
          </w:p>
        </w:tc>
        <w:tc>
          <w:tcPr>
            <w:tcW w:type="dxa" w:w="5156"/>
          </w:tcPr>
          <w:p>
            <w:r/>
            <w:r>
              <w:rPr>
                <w:rFonts w:ascii="Source Sans 3" w:hAnsi="Source Sans 3"/>
                <w:b w:val="0"/>
                <w:sz w:val="14"/>
              </w:rPr>
              <w:t>Ausschluss oder Korrektur bei schweren negativen Wirkungen</w:t>
            </w:r>
          </w:p>
        </w:tc>
      </w:tr>
      <w:tr>
        <w:tc>
          <w:tcPr>
            <w:tcW w:type="dxa" w:w="5156"/>
          </w:tcPr>
          <w:p>
            <w:r/>
            <w:r>
              <w:rPr>
                <w:rFonts w:ascii="Source Sans 3" w:hAnsi="Source Sans 3"/>
                <w:b w:val="0"/>
                <w:sz w:val="14"/>
              </w:rPr>
              <w:t>Evaluation</w:t>
            </w:r>
          </w:p>
        </w:tc>
        <w:tc>
          <w:tcPr>
            <w:tcW w:type="dxa" w:w="5156"/>
          </w:tcPr>
          <w:p>
            <w:r/>
            <w:r>
              <w:rPr>
                <w:rFonts w:ascii="Source Sans 3" w:hAnsi="Source Sans 3"/>
                <w:b w:val="0"/>
                <w:sz w:val="14"/>
              </w:rPr>
              <w:t>jährliche Wirkung und Dreijahresrevision</w:t>
            </w:r>
          </w:p>
        </w:tc>
      </w:tr>
    </w:tbl>
    <w:p/>
    <w:p>
      <w:pPr>
        <w:spacing w:after="120" w:line="269" w:lineRule="auto"/>
      </w:pPr>
      <w:r>
        <w:t>Arbeitsformel v0.1: Fondspriorität = (Bedarf x Systemhebel x T-SROI-Potenzial x Datenqualität) / (Risiko x Umsetzungsbarriere). Diese Formel ist eine Heuristik, keine amtliche Verteilungsregel.</w:t>
      </w:r>
    </w:p>
    <w:p>
      <w:pPr>
        <w:pStyle w:val="Heading1"/>
      </w:pPr>
      <w:r>
        <w:t>11. Offene politische Entscheidungen</w:t>
      </w:r>
    </w:p>
    <w:p>
      <w:pPr>
        <w:pStyle w:val="ListBullet"/>
        <w:spacing w:after="40"/>
      </w:pPr>
      <w:r>
        <w:t>Welche Fonds erhalten gesetzlichen Status und welche bleiben Pilotfonds?</w:t>
      </w:r>
    </w:p>
    <w:p>
      <w:pPr>
        <w:pStyle w:val="ListBullet"/>
        <w:spacing w:after="40"/>
      </w:pPr>
      <w:r>
        <w:t>Welche Steuern speisen welche Fonds?</w:t>
      </w:r>
    </w:p>
    <w:p>
      <w:pPr>
        <w:pStyle w:val="ListBullet"/>
        <w:spacing w:after="40"/>
      </w:pPr>
      <w:r>
        <w:t>Wie wird Haushaltsneutralität gewahrt?</w:t>
      </w:r>
    </w:p>
    <w:p>
      <w:pPr>
        <w:pStyle w:val="ListBullet"/>
        <w:spacing w:after="40"/>
      </w:pPr>
      <w:r>
        <w:t>Wie werden KMU, Familienunternehmen und Haushalte geschützt?</w:t>
      </w:r>
    </w:p>
    <w:p>
      <w:pPr>
        <w:pStyle w:val="ListBullet"/>
        <w:spacing w:after="40"/>
      </w:pPr>
      <w:r>
        <w:t>Welche Freibeträge gelten bei Vermögen und Erbschaft?</w:t>
      </w:r>
    </w:p>
    <w:p>
      <w:pPr>
        <w:pStyle w:val="ListBullet"/>
        <w:spacing w:after="40"/>
      </w:pPr>
      <w:r>
        <w:t>Wie wird Missbrauch durch Lobbying verhindert?</w:t>
      </w:r>
    </w:p>
    <w:p>
      <w:pPr>
        <w:pStyle w:val="ListBullet"/>
        <w:spacing w:after="40"/>
      </w:pPr>
      <w:r>
        <w:t>Wie werden Bundes-, Landes- und Kommunalebenen beteiligt?</w:t>
      </w:r>
    </w:p>
    <w:sectPr w:rsidR="00FC693F" w:rsidRPr="0006063C" w:rsidSect="00034616">
      <w:pgSz w:w="12240" w:h="15840"/>
      <w:pgMar w:top="1020" w:right="964" w:bottom="90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B2A2C"/>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B1B33"/>
      <w:sz w:val="3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B1B3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0B1B33"/>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color w:val="0B1B33"/>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ba.europa.eu/activities/single-rulebook/regulatory-activities/sustainable-finance/guidelines-management-esg-risks" TargetMode="External"/><Relationship Id="rId10" Type="http://schemas.openxmlformats.org/officeDocument/2006/relationships/hyperlink" Target="https://www.eba.europa.eu/activities/single-rulebook/regulatory-activities/credit-risk/guidelines-loan-origination-and-monitoring" TargetMode="External"/><Relationship Id="rId11" Type="http://schemas.openxmlformats.org/officeDocument/2006/relationships/hyperlink" Target="https://finance.ec.europa.eu/financial-markets/company-reporting-and-auditing/company-reporting/corporate-sustainability-reporting_en" TargetMode="External"/><Relationship Id="rId12" Type="http://schemas.openxmlformats.org/officeDocument/2006/relationships/hyperlink" Target="https://www.efrag.org/en/sustainability-reporting/about-sustainability-reporting" TargetMode="External"/><Relationship Id="rId13" Type="http://schemas.openxmlformats.org/officeDocument/2006/relationships/hyperlink" Target="https://finance.ec.europa.eu/sustainable-finance/tools-and-standards/eu-taxonomy-sustainable-activities_en" TargetMode="External"/><Relationship Id="rId14" Type="http://schemas.openxmlformats.org/officeDocument/2006/relationships/hyperlink" Target="https://www.esma.europa.eu/esmas-activities/investors-and-issuers/esg-rating-providers" TargetMode="External"/><Relationship Id="rId15" Type="http://schemas.openxmlformats.org/officeDocument/2006/relationships/hyperlink" Target="https://eur-lex.europa.eu/legal-content/EN/TXT/PDF/?uri=OJ:L_202403005" TargetMode="External"/><Relationship Id="rId16" Type="http://schemas.openxmlformats.org/officeDocument/2006/relationships/hyperlink" Target="https://www.eiopa.europa.eu/managing-sustainability-risks_en" TargetMode="External"/><Relationship Id="rId17" Type="http://schemas.openxmlformats.org/officeDocument/2006/relationships/hyperlink" Target="https://commission.europa.eu/topics/business-and-industry/doing-business-eu/sustainability-due-diligence-responsible-business/corporate-sustainability-due-diligence_en" TargetMode="External"/><Relationship Id="rId18" Type="http://schemas.openxmlformats.org/officeDocument/2006/relationships/hyperlink" Target="https://www.oecd.org/en/publications/2018/02/oecd-due-diligence-guidance-for-responsible-business-conduct_c669bd57.html" TargetMode="External"/><Relationship Id="rId19" Type="http://schemas.openxmlformats.org/officeDocument/2006/relationships/hyperlink" Target="https://wirkungsoekonomie.de/verstehen/sdgs-sdgplus/" TargetMode="External"/><Relationship Id="rId20" Type="http://schemas.openxmlformats.org/officeDocument/2006/relationships/hyperlink" Target="https://wirkungsoekonomie.de/werkstatt/online-b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