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drawing>
          <wp:inline xmlns:a="http://schemas.openxmlformats.org/drawingml/2006/main" xmlns:pic="http://schemas.openxmlformats.org/drawingml/2006/picture">
            <wp:extent cx="457200" cy="457200"/>
            <wp:docPr id="1" name="Picture 1"/>
            <wp:cNvGraphicFramePr>
              <a:graphicFrameLocks noChangeAspect="1"/>
            </wp:cNvGraphicFramePr>
            <a:graphic>
              <a:graphicData uri="http://schemas.openxmlformats.org/drawingml/2006/picture">
                <pic:pic>
                  <pic:nvPicPr>
                    <pic:cNvPr id="0" name="woek_brand_mark.png"/>
                    <pic:cNvPicPr/>
                  </pic:nvPicPr>
                  <pic:blipFill>
                    <a:blip r:embed="rId10"/>
                    <a:stretch>
                      <a:fillRect/>
                    </a:stretch>
                  </pic:blipFill>
                  <pic:spPr>
                    <a:xfrm>
                      <a:off x="0" y="0"/>
                      <a:ext cx="457200" cy="457200"/>
                    </a:xfrm>
                    <a:prstGeom prst="rect"/>
                  </pic:spPr>
                </pic:pic>
              </a:graphicData>
            </a:graphic>
          </wp:inline>
        </w:drawing>
      </w:r>
    </w:p>
    <w:p>
      <w:pPr>
        <w:jc w:val="left"/>
      </w:pPr>
      <w:r>
        <w:rPr>
          <w:rFonts w:ascii="Liberation Serif" w:hAnsi="Liberation Serif" w:eastAsia="Liberation Serif"/>
          <w:b/>
          <w:color w:val="0B1030"/>
          <w:sz w:val="30"/>
        </w:rPr>
        <w:t>WIRKUNGSÖKONOMIE</w:t>
      </w:r>
    </w:p>
    <w:p>
      <w:r>
        <w:rPr>
          <w:rFonts w:ascii="Liberation Sans" w:hAnsi="Liberation Sans" w:eastAsia="Liberation Sans"/>
          <w:b/>
          <w:caps/>
          <w:color w:val="2B7D5C"/>
          <w:sz w:val="18"/>
        </w:rPr>
        <w:t>DETAILKONZEPT-KOMPENDIUM</w:t>
      </w:r>
    </w:p>
    <w:p>
      <w:r>
        <w:rPr>
          <w:rFonts w:ascii="Liberation Serif" w:hAnsi="Liberation Serif" w:eastAsia="Liberation Serif"/>
          <w:b/>
          <w:color w:val="0B1030"/>
          <w:sz w:val="62"/>
        </w:rPr>
        <w:t>Wirtschaft &amp; Unternehmen</w:t>
      </w:r>
    </w:p>
    <w:p>
      <w:r>
        <w:rPr>
          <w:rFonts w:ascii="Liberation Serif" w:hAnsi="Liberation Serif" w:eastAsia="Liberation Serif"/>
          <w:b w:val="0"/>
          <w:color w:val="2B7D5C"/>
          <w:sz w:val="32"/>
        </w:rPr>
        <w:t>Umfassende Detailkonzepte zu wirkungsorientierter Unternehmensführung, Resilienz, Risiko und Wertschöpfung</w:t>
      </w:r>
    </w:p>
    <w:tbl>
      <w:tblPr>
        <w:tblW w:type="auto" w:w="0"/>
        <w:jc w:val="left"/>
        <w:tblLayout w:type="autofit"/>
        <w:tblLook w:firstColumn="1" w:firstRow="1" w:lastColumn="0" w:lastRow="0" w:noHBand="0" w:noVBand="1" w:val="04A0"/>
      </w:tblPr>
      <w:tblGrid>
        <w:gridCol w:w="5083"/>
        <w:gridCol w:w="5083"/>
      </w:tblGrid>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Autorin</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Natalie Weber</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Referenz</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Wirkungsökonomie</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Version</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v0.2</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Status</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nachgelieferte Korrekturfassung</w:t>
            </w:r>
          </w:p>
        </w:tc>
      </w:tr>
      <w:tr>
        <w:tc>
          <w:tcPr>
            <w:tcW w:type="dxa" w:w="2160"/>
            <w:tcBorders>
              <w:top w:val="single" w:sz="4" w:space="0" w:color="D8D1C5"/>
              <w:left w:val="single" w:sz="4" w:space="0" w:color="D8D1C5"/>
              <w:bottom w:val="single" w:sz="4" w:space="0" w:color="D8D1C5"/>
              <w:right w:val="single" w:sz="4" w:space="0" w:color="D8D1C5"/>
            </w:tcBorders>
            <w:vAlign w:val="center"/>
            <w:shd w:fill="F6F1E8"/>
          </w:tcPr>
          <w:p>
            <w:r>
              <w:rPr>
                <w:rFonts w:ascii="Liberation Sans" w:hAnsi="Liberation Sans" w:eastAsia="Liberation Sans"/>
                <w:b/>
                <w:color w:val="0B1030"/>
                <w:sz w:val="18"/>
              </w:rPr>
              <w:t>Stand</w:t>
            </w:r>
          </w:p>
        </w:tc>
        <w:tc>
          <w:tcPr>
            <w:tcW w:type="dxa" w:w="6480"/>
            <w:tcBorders>
              <w:top w:val="single" w:sz="4" w:space="0" w:color="D8D1C5"/>
              <w:left w:val="single" w:sz="4" w:space="0" w:color="D8D1C5"/>
              <w:bottom w:val="single" w:sz="4" w:space="0" w:color="D8D1C5"/>
              <w:right w:val="single" w:sz="4" w:space="0" w:color="D8D1C5"/>
            </w:tcBorders>
            <w:vAlign w:val="center"/>
          </w:tcPr>
          <w:p>
            <w:r>
              <w:rPr>
                <w:rFonts w:ascii="Liberation Sans" w:hAnsi="Liberation Sans" w:eastAsia="Liberation Sans"/>
                <w:color w:val="2E2A2C"/>
                <w:sz w:val="18"/>
              </w:rPr>
              <w:t>24. Mai 2026</w:t>
            </w:r>
          </w:p>
        </w:tc>
      </w:tr>
    </w:tbl>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erif" w:hAnsi="Liberation Serif" w:eastAsia="Liberation Serif"/>
                <w:b/>
                <w:color w:val="0B1030"/>
                <w:sz w:val="26"/>
              </w:rPr>
              <w:t>Leitformel: Wirkung statt Kapital. Für Mensch, Planet und Demokratie.</w:t>
            </w:r>
          </w:p>
        </w:tc>
      </w:tr>
    </w:tbl>
    <w:p>
      <w:r>
        <w:br w:type="page"/>
      </w:r>
    </w:p>
    <w:p>
      <w:pPr>
        <w:pStyle w:val="Heading1"/>
      </w:pPr>
      <w:r>
        <w:t>Vorwort und Korrekturhinweis</w:t>
      </w:r>
    </w:p>
    <w:p>
      <w:pPr>
        <w:spacing w:after="120" w:line="259" w:lineRule="auto"/>
      </w:pPr>
      <w:r>
        <w:rPr>
          <w:rFonts w:ascii="Liberation Sans" w:hAnsi="Liberation Sans" w:eastAsia="Liberation Sans"/>
          <w:color w:val="2E2A2C"/>
          <w:sz w:val="21"/>
        </w:rPr>
        <w:t>Diese nachgelieferte Korrekturfassung ersetzt die bisher sehr kurzen Detailkonzept-Skizzen. Sie ist bewusst als ausführliches Detailkonzept-Kompendium aufgebaut. Jeder Unterbereich erhält eine fachliche Ausarbeitung mit Problem, Wirkungslogik, Systemarchitektur, Messlogik, politischer Anschlussfähigkeit, Risiken und Online-/Dossierbezug.</w:t>
      </w:r>
    </w:p>
    <w:p>
      <w:pPr>
        <w:spacing w:after="120" w:line="259" w:lineRule="auto"/>
      </w:pPr>
      <w:r>
        <w:rPr>
          <w:rFonts w:ascii="Liberation Sans" w:hAnsi="Liberation Sans" w:eastAsia="Liberation Sans"/>
          <w:color w:val="2E2A2C"/>
          <w:sz w:val="21"/>
        </w:rPr>
        <w:t>Die Inhalte sind öffentlich formuliert. Interne Umsetzungs- und Prozesshinweise wurden bewusst nicht aufgenommen. Öffentliche Dokumente erklären Fachinhalte, nicht Arbeitsabläufe.</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Öffentlicher Charakter</w:t>
              <w:br/>
            </w:r>
            <w:r>
              <w:rPr>
                <w:rFonts w:ascii="Liberation Sans" w:hAnsi="Liberation Sans" w:eastAsia="Liberation Sans"/>
                <w:color w:val="2E2A2C"/>
                <w:sz w:val="20"/>
              </w:rPr>
              <w:t>Dieses Dokument ist als fachliche Grundlage für Website, Online-Volltext, Download und Dossier geeignet. Es enthält keine internen technischen Arbeitsanweisungen.</w:t>
            </w:r>
          </w:p>
        </w:tc>
      </w:tr>
    </w:tbl>
    <w:p/>
    <w:p>
      <w:pPr>
        <w:pStyle w:val="Heading1"/>
      </w:pPr>
      <w:r>
        <w:t>Grundthese des Bereichs</w:t>
      </w:r>
    </w:p>
    <w:p>
      <w:pPr>
        <w:spacing w:after="120" w:line="259" w:lineRule="auto"/>
      </w:pPr>
      <w:r>
        <w:rPr>
          <w:rFonts w:ascii="Liberation Sans" w:hAnsi="Liberation Sans" w:eastAsia="Liberation Sans"/>
          <w:color w:val="2E2A2C"/>
          <w:sz w:val="21"/>
        </w:rPr>
        <w:t>Unternehmen werden als Wirkungssysteme verstanden. Gewinn bleibt wichtig, aber als Ergebnis positiver Netto-Wirkung, nicht als letzter Maßstab. Führung gestaltet Rückkopplungen, Wertschöpfungsketten und Verantwortung.</w:t>
      </w:r>
    </w:p>
    <w:p>
      <w:pPr>
        <w:spacing w:after="120" w:line="259" w:lineRule="auto"/>
      </w:pPr>
      <w:r>
        <w:rPr>
          <w:rFonts w:ascii="Liberation Sans" w:hAnsi="Liberation Sans" w:eastAsia="Liberation Sans"/>
          <w:color w:val="2E2A2C"/>
          <w:sz w:val="21"/>
        </w:rPr>
        <w:t>Buchanker: Kapitel 42-47 sowie Kapitel 46.6 zum Marketing und Kapitel 44 zum Wirkungscontrolling im Unternehmen.</w:t>
      </w:r>
    </w:p>
    <w:p>
      <w:pPr>
        <w:pStyle w:val="Heading1"/>
      </w:pPr>
      <w:r>
        <w:t>Überblick der Unterbereiche</w:t>
      </w:r>
    </w:p>
    <w:tbl>
      <w:tblPr>
        <w:tblW w:type="auto" w:w="0"/>
        <w:jc w:val="center"/>
        <w:tblLook w:firstColumn="1" w:firstRow="1" w:lastColumn="0" w:lastRow="0" w:noHBand="0" w:noVBand="1" w:val="04A0"/>
      </w:tblPr>
      <w:tblGrid>
        <w:gridCol w:w="3389"/>
        <w:gridCol w:w="3389"/>
        <w:gridCol w:w="3389"/>
      </w:tblGrid>
      <w:tr>
        <w:tc>
          <w:tcPr>
            <w:tcW w:type="dxa" w:w="3389"/>
            <w:shd w:fill="0B1030"/>
            <w:tcBorders>
              <w:top w:val="single" w:sz="4" w:space="0" w:color="0B1030"/>
              <w:left w:val="single" w:sz="4" w:space="0" w:color="0B1030"/>
              <w:bottom w:val="single" w:sz="4" w:space="0" w:color="0B1030"/>
              <w:right w:val="single" w:sz="4" w:space="0" w:color="0B1030"/>
            </w:tcBorders>
          </w:tcPr>
          <w:p>
            <w:r>
              <w:rPr>
                <w:rFonts w:ascii="Liberation Sans" w:hAnsi="Liberation Sans" w:eastAsia="Liberation Sans"/>
                <w:b/>
                <w:color w:val="FFFFFF"/>
                <w:sz w:val="17"/>
              </w:rPr>
              <w:t>Nr.</w:t>
            </w:r>
          </w:p>
        </w:tc>
        <w:tc>
          <w:tcPr>
            <w:tcW w:type="dxa" w:w="3389"/>
            <w:shd w:fill="0B1030"/>
            <w:tcBorders>
              <w:top w:val="single" w:sz="4" w:space="0" w:color="0B1030"/>
              <w:left w:val="single" w:sz="4" w:space="0" w:color="0B1030"/>
              <w:bottom w:val="single" w:sz="4" w:space="0" w:color="0B1030"/>
              <w:right w:val="single" w:sz="4" w:space="0" w:color="0B1030"/>
            </w:tcBorders>
          </w:tcPr>
          <w:p>
            <w:r>
              <w:rPr>
                <w:rFonts w:ascii="Liberation Sans" w:hAnsi="Liberation Sans" w:eastAsia="Liberation Sans"/>
                <w:b/>
                <w:color w:val="FFFFFF"/>
                <w:sz w:val="17"/>
              </w:rPr>
              <w:t>Unterbereich</w:t>
            </w:r>
          </w:p>
        </w:tc>
        <w:tc>
          <w:tcPr>
            <w:tcW w:type="dxa" w:w="3389"/>
            <w:shd w:fill="0B1030"/>
            <w:tcBorders>
              <w:top w:val="single" w:sz="4" w:space="0" w:color="0B1030"/>
              <w:left w:val="single" w:sz="4" w:space="0" w:color="0B1030"/>
              <w:bottom w:val="single" w:sz="4" w:space="0" w:color="0B1030"/>
              <w:right w:val="single" w:sz="4" w:space="0" w:color="0B1030"/>
            </w:tcBorders>
          </w:tcPr>
          <w:p>
            <w:r>
              <w:rPr>
                <w:rFonts w:ascii="Liberation Sans" w:hAnsi="Liberation Sans" w:eastAsia="Liberation Sans"/>
                <w:b/>
                <w:color w:val="FFFFFF"/>
                <w:sz w:val="17"/>
              </w:rPr>
              <w:t>Kurzfunktion</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1</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Unternehmen als Wirkungssysteme</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Unternehmenszweck, Gewinn als Ergebnis, Strategie und Verantwortung über die Bilanz hinaus.</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2</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Wirkungsorientierte Unternehmensführung</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Führung als Systemsteuerung, kybernetische Logik, Netzwerke statt Kontrollillusion.</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3</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Wirkungsorientierte Mitarbeiterführung</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Selbstwirksamkeit, Rolle, Verantwortung, Lernkultur, Schutz vor Instrumentalisierung.</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4</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Impact Controlling im Unternehmen</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KII statt KPI, Scorecards, T-SROI, CAPEX/OPEX nach Wirkung, Finanzkommunikation.</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5</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Risikomanagement und Wirkungsrisiko im ERM</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Wirkungsrisiko als strategisches Risiko, Frühwarninformationen und Resilienz.</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6</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Resiliente Wertschöpfungskette</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Beschaffung, Lieferantenbewertung, Supply-Chain-Resilienz, Vorsteuerlogik.</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7</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Produktportfolio und Produktentwicklung</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Produktwirkung, Kreislaufwirtschaft, Cradle-to-Cradle, Entwicklungsentscheidungen.</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8</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Marketing und das fünfte P: Planet</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Marketing als Nachfragearchitektur; Planet als fünftes P neben Product, Price, Place, Promotion.</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9</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Organisation, Kultur und Verantwortung</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Netzwerke statt Silos, Wirkungskompetenz, lernende Organisation.</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10</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Transformation und Geschäftsmodellprüfung</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Geschäftsmodelle nach Wirkung, Transformationspfade, Exit aus Negativwirkung.</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11</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Governance, Boni und Anreizsysteme</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Vergütung, Zielsysteme, Verantwortlichkeit, Purpose und Aufsicht.</w:t>
            </w:r>
          </w:p>
        </w:tc>
      </w:tr>
      <w:tr>
        <w:tc>
          <w:tcPr>
            <w:tcW w:type="dxa" w:w="3389"/>
            <w:tcBorders>
              <w:top w:val="single" w:sz="4" w:space="0" w:color="D8D1C5"/>
              <w:left w:val="single" w:sz="4" w:space="0" w:color="D8D1C5"/>
              <w:bottom w:val="single" w:sz="4" w:space="0" w:color="D8D1C5"/>
              <w:right w:val="single" w:sz="4" w:space="0" w:color="D8D1C5"/>
            </w:tcBorders>
            <w:shd w:fill="F6F1E8"/>
          </w:tcPr>
          <w:p>
            <w:r>
              <w:rPr>
                <w:rFonts w:ascii="Liberation Sans" w:hAnsi="Liberation Sans" w:eastAsia="Liberation Sans"/>
                <w:b/>
                <w:color w:val="2E2A2C"/>
                <w:sz w:val="17"/>
              </w:rPr>
              <w:t>12</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KMU-Tauglichkeit und Pilotierung</w:t>
            </w:r>
          </w:p>
        </w:tc>
        <w:tc>
          <w:tcPr>
            <w:tcW w:type="dxa" w:w="3389"/>
            <w:tcBorders>
              <w:top w:val="single" w:sz="4" w:space="0" w:color="D8D1C5"/>
              <w:left w:val="single" w:sz="4" w:space="0" w:color="D8D1C5"/>
              <w:bottom w:val="single" w:sz="4" w:space="0" w:color="D8D1C5"/>
              <w:right w:val="single" w:sz="4" w:space="0" w:color="D8D1C5"/>
            </w:tcBorders>
          </w:tcPr>
          <w:p>
            <w:r>
              <w:rPr>
                <w:rFonts w:ascii="Liberation Sans" w:hAnsi="Liberation Sans" w:eastAsia="Liberation Sans"/>
                <w:b w:val="0"/>
                <w:color w:val="2E2A2C"/>
                <w:sz w:val="17"/>
              </w:rPr>
              <w:t>Verhältnismäßigkeit, einfache Checks, stufenweise Einführung, Branchenpilotierung.</w:t>
            </w:r>
          </w:p>
        </w:tc>
      </w:tr>
    </w:tbl>
    <w:p/>
    <w:p>
      <w:pPr>
        <w:pStyle w:val="Heading1"/>
      </w:pPr>
      <w:r>
        <w:t>Detailkonzepte</w:t>
      </w:r>
    </w:p>
    <w:p>
      <w:pPr>
        <w:pStyle w:val="Heading2"/>
      </w:pPr>
      <w:r>
        <w:t>Unternehmen als Wirkungssysteme</w:t>
      </w:r>
    </w:p>
    <w:p>
      <w:pPr>
        <w:spacing w:after="120" w:line="259" w:lineRule="auto"/>
      </w:pPr>
      <w:r>
        <w:rPr>
          <w:rFonts w:ascii="Liberation Sans" w:hAnsi="Liberation Sans" w:eastAsia="Liberation Sans"/>
          <w:color w:val="2E2A2C"/>
          <w:sz w:val="21"/>
        </w:rPr>
        <w:t>Dieses Detailkonzept vertieft den Unterbereich „Unternehmen als Wirkungssysteme“ innerhalb des Portals „Wirtschaft &amp; Unternehmen“. Unternehmenszweck, Gewinn als Ergebnis, Strategie und Verantwortung über die Bilanz hinaus.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„Unternehmen als Wirkungssysteme“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Unternehmen als Wirkungssysteme: Nicht die Aktivität allein zählt, sondern ihre positive Netto-Wirkung, ihre Risiken und ihre demokratisch überprüfbare Rückkopplung.</w:t>
            </w:r>
          </w:p>
        </w:tc>
      </w:tr>
    </w:tbl>
    <w:p/>
    <w:p>
      <w:pPr>
        <w:pStyle w:val="Heading2"/>
      </w:pPr>
      <w:r>
        <w:t>Wirkungsorientierte Unternehmensführung</w:t>
      </w:r>
    </w:p>
    <w:p>
      <w:pPr>
        <w:spacing w:after="120" w:line="259" w:lineRule="auto"/>
      </w:pPr>
      <w:r>
        <w:rPr>
          <w:rFonts w:ascii="Liberation Sans" w:hAnsi="Liberation Sans" w:eastAsia="Liberation Sans"/>
          <w:color w:val="2E2A2C"/>
          <w:sz w:val="21"/>
        </w:rPr>
        <w:t>Dieses Detailkonzept vertieft den Unterbereich „Wirkungsorientierte Unternehmensführung“ innerhalb des Portals „Wirtschaft &amp; Unternehmen“. Führung als Systemsteuerung, kybernetische Logik, Netzwerke statt Kontrollillusion.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„Wirkungsorientierte Unternehmensführung“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Wirkungsorientierte Unternehmensführung: Nicht die Aktivität allein zählt, sondern ihre positive Netto-Wirkung, ihre Risiken und ihre demokratisch überprüfbare Rückkopplung.</w:t>
            </w:r>
          </w:p>
        </w:tc>
      </w:tr>
    </w:tbl>
    <w:p/>
    <w:p>
      <w:pPr>
        <w:pStyle w:val="Heading2"/>
      </w:pPr>
      <w:r>
        <w:t>Wirkungsorientierte Mitarbeiterführung</w:t>
      </w:r>
    </w:p>
    <w:p>
      <w:pPr>
        <w:spacing w:after="120" w:line="259" w:lineRule="auto"/>
      </w:pPr>
      <w:r>
        <w:rPr>
          <w:rFonts w:ascii="Liberation Sans" w:hAnsi="Liberation Sans" w:eastAsia="Liberation Sans"/>
          <w:color w:val="2E2A2C"/>
          <w:sz w:val="21"/>
        </w:rPr>
        <w:t>Dieses Detailkonzept vertieft den Unterbereich „Wirkungsorientierte Mitarbeiterführung“ innerhalb des Portals „Wirtschaft &amp; Unternehmen“. Selbstwirksamkeit, Rolle, Verantwortung, Lernkultur, Schutz vor Instrumentalisierung.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„Wirkungsorientierte Mitarbeiterführung“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Wirkungsorientierte Mitarbeiterführung: Nicht die Aktivität allein zählt, sondern ihre positive Netto-Wirkung, ihre Risiken und ihre demokratisch überprüfbare Rückkopplung.</w:t>
            </w:r>
          </w:p>
        </w:tc>
      </w:tr>
    </w:tbl>
    <w:p/>
    <w:p>
      <w:pPr>
        <w:pStyle w:val="Heading2"/>
      </w:pPr>
      <w:r>
        <w:t>Impact Controlling im Unternehmen</w:t>
      </w:r>
    </w:p>
    <w:p>
      <w:pPr>
        <w:spacing w:after="120" w:line="259" w:lineRule="auto"/>
      </w:pPr>
      <w:r>
        <w:rPr>
          <w:rFonts w:ascii="Liberation Sans" w:hAnsi="Liberation Sans" w:eastAsia="Liberation Sans"/>
          <w:color w:val="2E2A2C"/>
          <w:sz w:val="21"/>
        </w:rPr>
        <w:t>Dieses Detailkonzept vertieft den Unterbereich „Impact Controlling im Unternehmen“ innerhalb des Portals „Wirtschaft &amp; Unternehmen“. KII statt KPI, Scorecards, T-SROI, CAPEX/OPEX nach Wirkung, Finanzkommunikation.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„Impact Controlling im Unternehmen“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Impact Controlling im Unternehmen: Nicht die Aktivität allein zählt, sondern ihre positive Netto-Wirkung, ihre Risiken und ihre demokratisch überprüfbare Rückkopplung.</w:t>
            </w:r>
          </w:p>
        </w:tc>
      </w:tr>
    </w:tbl>
    <w:p/>
    <w:p>
      <w:pPr>
        <w:pStyle w:val="Heading2"/>
      </w:pPr>
      <w:r>
        <w:t>Risikomanagement und Wirkungsrisiko im ERM</w:t>
      </w:r>
    </w:p>
    <w:p>
      <w:pPr>
        <w:spacing w:after="120" w:line="259" w:lineRule="auto"/>
      </w:pPr>
      <w:r>
        <w:rPr>
          <w:rFonts w:ascii="Liberation Sans" w:hAnsi="Liberation Sans" w:eastAsia="Liberation Sans"/>
          <w:color w:val="2E2A2C"/>
          <w:sz w:val="21"/>
        </w:rPr>
        <w:t>Dieses Detailkonzept vertieft den Unterbereich „Risikomanagement und Wirkungsrisiko im ERM“ innerhalb des Portals „Wirtschaft &amp; Unternehmen“. Wirkungsrisiko als strategisches Risiko, Frühwarninformationen und Resilienz.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„Risikomanagement und Wirkungsrisiko im ERM“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Risikomanagement und Wirkungsrisiko im ERM: Nicht die Aktivität allein zählt, sondern ihre positive Netto-Wirkung, ihre Risiken und ihre demokratisch überprüfbare Rückkopplung.</w:t>
            </w:r>
          </w:p>
        </w:tc>
      </w:tr>
    </w:tbl>
    <w:p/>
    <w:p>
      <w:pPr>
        <w:pStyle w:val="Heading2"/>
      </w:pPr>
      <w:r>
        <w:t>Resiliente Wertschöpfungskette</w:t>
      </w:r>
    </w:p>
    <w:p>
      <w:pPr>
        <w:spacing w:after="120" w:line="259" w:lineRule="auto"/>
      </w:pPr>
      <w:r>
        <w:rPr>
          <w:rFonts w:ascii="Liberation Sans" w:hAnsi="Liberation Sans" w:eastAsia="Liberation Sans"/>
          <w:color w:val="2E2A2C"/>
          <w:sz w:val="21"/>
        </w:rPr>
        <w:t>Dieses Detailkonzept vertieft den Unterbereich „Resiliente Wertschöpfungskette“ innerhalb des Portals „Wirtschaft &amp; Unternehmen“. Beschaffung, Lieferantenbewertung, Supply-Chain-Resilienz, Vorsteuerlogik.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„Resiliente Wertschöpfungskette“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Resiliente Wertschöpfungskette: Nicht die Aktivität allein zählt, sondern ihre positive Netto-Wirkung, ihre Risiken und ihre demokratisch überprüfbare Rückkopplung.</w:t>
            </w:r>
          </w:p>
        </w:tc>
      </w:tr>
    </w:tbl>
    <w:p/>
    <w:p>
      <w:pPr>
        <w:pStyle w:val="Heading2"/>
      </w:pPr>
      <w:r>
        <w:t>Produktportfolio und Produktentwicklung</w:t>
      </w:r>
    </w:p>
    <w:p>
      <w:pPr>
        <w:spacing w:after="120" w:line="259" w:lineRule="auto"/>
      </w:pPr>
      <w:r>
        <w:rPr>
          <w:rFonts w:ascii="Liberation Sans" w:hAnsi="Liberation Sans" w:eastAsia="Liberation Sans"/>
          <w:color w:val="2E2A2C"/>
          <w:sz w:val="21"/>
        </w:rPr>
        <w:t>Dieses Detailkonzept vertieft den Unterbereich „Produktportfolio und Produktentwicklung“ innerhalb des Portals „Wirtschaft &amp; Unternehmen“. Produktwirkung, Kreislaufwirtschaft, Cradle-to-Cradle, Entwicklungsentscheidungen.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„Produktportfolio und Produktentwicklung“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Produktportfolio und Produktentwicklung: Nicht die Aktivität allein zählt, sondern ihre positive Netto-Wirkung, ihre Risiken und ihre demokratisch überprüfbare Rückkopplung.</w:t>
            </w:r>
          </w:p>
        </w:tc>
      </w:tr>
    </w:tbl>
    <w:p/>
    <w:p>
      <w:pPr>
        <w:pStyle w:val="Heading2"/>
      </w:pPr>
      <w:r>
        <w:t>Marketing und das fünfte P: Planet</w:t>
      </w:r>
    </w:p>
    <w:p>
      <w:pPr>
        <w:spacing w:after="120" w:line="259" w:lineRule="auto"/>
      </w:pPr>
      <w:r>
        <w:rPr>
          <w:rFonts w:ascii="Liberation Sans" w:hAnsi="Liberation Sans" w:eastAsia="Liberation Sans"/>
          <w:color w:val="2E2A2C"/>
          <w:sz w:val="21"/>
        </w:rPr>
        <w:t>Dieses Detailkonzept vertieft den Unterbereich „Marketing und das fünfte P: Planet“ innerhalb des Portals „Wirtschaft &amp; Unternehmen“. Marketing als Nachfragearchitektur; Planet als fünftes P neben Product, Price, Place, Promotion.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„Marketing und das fünfte P: Planet“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Marketing und das fünfte P: Planet: Nicht die Aktivität allein zählt, sondern ihre positive Netto-Wirkung, ihre Risiken und ihre demokratisch überprüfbare Rückkopplung.</w:t>
            </w:r>
          </w:p>
        </w:tc>
      </w:tr>
    </w:tbl>
    <w:p/>
    <w:p>
      <w:pPr>
        <w:pStyle w:val="Heading2"/>
      </w:pPr>
      <w:r>
        <w:t>Organisation, Kultur und Verantwortung</w:t>
      </w:r>
    </w:p>
    <w:p>
      <w:pPr>
        <w:spacing w:after="120" w:line="259" w:lineRule="auto"/>
      </w:pPr>
      <w:r>
        <w:rPr>
          <w:rFonts w:ascii="Liberation Sans" w:hAnsi="Liberation Sans" w:eastAsia="Liberation Sans"/>
          <w:color w:val="2E2A2C"/>
          <w:sz w:val="21"/>
        </w:rPr>
        <w:t>Dieses Detailkonzept vertieft den Unterbereich „Organisation, Kultur und Verantwortung“ innerhalb des Portals „Wirtschaft &amp; Unternehmen“. Netzwerke statt Silos, Wirkungskompetenz, lernende Organisation.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„Organisation, Kultur und Verantwortung“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Organisation, Kultur und Verantwortung: Nicht die Aktivität allein zählt, sondern ihre positive Netto-Wirkung, ihre Risiken und ihre demokratisch überprüfbare Rückkopplung.</w:t>
            </w:r>
          </w:p>
        </w:tc>
      </w:tr>
    </w:tbl>
    <w:p/>
    <w:p>
      <w:pPr>
        <w:pStyle w:val="Heading2"/>
      </w:pPr>
      <w:r>
        <w:t>Transformation und Geschäftsmodellprüfung</w:t>
      </w:r>
    </w:p>
    <w:p>
      <w:pPr>
        <w:spacing w:after="120" w:line="259" w:lineRule="auto"/>
      </w:pPr>
      <w:r>
        <w:rPr>
          <w:rFonts w:ascii="Liberation Sans" w:hAnsi="Liberation Sans" w:eastAsia="Liberation Sans"/>
          <w:color w:val="2E2A2C"/>
          <w:sz w:val="21"/>
        </w:rPr>
        <w:t>Dieses Detailkonzept vertieft den Unterbereich „Transformation und Geschäftsmodellprüfung“ innerhalb des Portals „Wirtschaft &amp; Unternehmen“. Geschäftsmodelle nach Wirkung, Transformationspfade, Exit aus Negativwirkung.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„Transformation und Geschäftsmodellprüfung“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Transformation und Geschäftsmodellprüfung: Nicht die Aktivität allein zählt, sondern ihre positive Netto-Wirkung, ihre Risiken und ihre demokratisch überprüfbare Rückkopplung.</w:t>
            </w:r>
          </w:p>
        </w:tc>
      </w:tr>
    </w:tbl>
    <w:p/>
    <w:p>
      <w:pPr>
        <w:pStyle w:val="Heading2"/>
      </w:pPr>
      <w:r>
        <w:t>Governance, Boni und Anreizsysteme</w:t>
      </w:r>
    </w:p>
    <w:p>
      <w:pPr>
        <w:spacing w:after="120" w:line="259" w:lineRule="auto"/>
      </w:pPr>
      <w:r>
        <w:rPr>
          <w:rFonts w:ascii="Liberation Sans" w:hAnsi="Liberation Sans" w:eastAsia="Liberation Sans"/>
          <w:color w:val="2E2A2C"/>
          <w:sz w:val="21"/>
        </w:rPr>
        <w:t>Dieses Detailkonzept vertieft den Unterbereich „Governance, Boni und Anreizsysteme“ innerhalb des Portals „Wirtschaft &amp; Unternehmen“. Vergütung, Zielsysteme, Verantwortlichkeit, Purpose und Aufsicht.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„Governance, Boni und Anreizsysteme“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Governance, Boni und Anreizsysteme: Nicht die Aktivität allein zählt, sondern ihre positive Netto-Wirkung, ihre Risiken und ihre demokratisch überprüfbare Rückkopplung.</w:t>
            </w:r>
          </w:p>
        </w:tc>
      </w:tr>
    </w:tbl>
    <w:p/>
    <w:p>
      <w:pPr>
        <w:pStyle w:val="Heading2"/>
      </w:pPr>
      <w:r>
        <w:t>KMU-Tauglichkeit und Pilotierung</w:t>
      </w:r>
    </w:p>
    <w:p>
      <w:pPr>
        <w:spacing w:after="120" w:line="259" w:lineRule="auto"/>
      </w:pPr>
      <w:r>
        <w:rPr>
          <w:rFonts w:ascii="Liberation Sans" w:hAnsi="Liberation Sans" w:eastAsia="Liberation Sans"/>
          <w:color w:val="2E2A2C"/>
          <w:sz w:val="21"/>
        </w:rPr>
        <w:t>Dieses Detailkonzept vertieft den Unterbereich „KMU-Tauglichkeit und Pilotierung“ innerhalb des Portals „Wirtschaft &amp; Unternehmen“. Verhältnismäßigkeit, einfache Checks, stufenweise Einführung, Branchenpilotierung. Es ist als öffentliche Arbeitsfassung angelegt und bildet die fachliche Grundlage für Online-Volltext, Einzeldossier, Toolbezug und politische Anschlussfähigkeit.</w:t>
      </w:r>
    </w:p>
    <w:p>
      <w:pPr>
        <w:pStyle w:val="Heading3"/>
      </w:pPr>
      <w:r>
        <w:t>1. Ausgangslage und alte Logik</w:t>
      </w:r>
    </w:p>
    <w:p>
      <w:pPr>
        <w:spacing w:after="120" w:line="259" w:lineRule="auto"/>
      </w:pPr>
      <w:r>
        <w:rPr>
          <w:rFonts w:ascii="Liberation Sans" w:hAnsi="Liberation Sans" w:eastAsia="Liberation Sans"/>
          <w:color w:val="2E2A2C"/>
          <w:sz w:val="21"/>
        </w:rPr>
        <w:t>Die alte Logik arbeitet mit verkürzten Maßstäben: Preis, Umsatz, Einkommen, Rendite, formale Regelkonformität, isolierte Kennzahlen oder kurzfristige Verfügbarkeit. Diese Größen sind nicht bedeutungslos, aber sie zeigen nicht, welche Zustände tatsächlich verändert werden. Dadurch bleiben Nebenwirkungen, Rückkopplungen, Verdrängungen, Folgekosten und demokratische Wirkungen oft unsichtbar.</w:t>
      </w:r>
    </w:p>
    <w:p>
      <w:pPr>
        <w:spacing w:after="120" w:line="259" w:lineRule="auto"/>
      </w:pPr>
      <w:r>
        <w:rPr>
          <w:rFonts w:ascii="Liberation Sans" w:hAnsi="Liberation Sans" w:eastAsia="Liberation Sans"/>
          <w:color w:val="2E2A2C"/>
          <w:sz w:val="21"/>
        </w:rPr>
        <w:t>Im Unterbereich „KMU-Tauglichkeit und Pilotierung“ zeigt sich diese Verkürzung besonders deutlich: Entscheidungen werden häufig so getroffen, als sei das jeweilige Thema isoliert. Wirkungsökonomisch muss es dagegen als Teil eines vernetzten Systems gelesen werden. Die zentrale Frage lautet nicht nur, ob eine Maßnahme formal zulässig oder wirtschaftlich attraktiv ist, sondern welche positive, negative oder neutrale Wirkung sie auf Mensch, Planet und Demokratie entfaltet.</w:t>
      </w:r>
    </w:p>
    <w:p>
      <w:pPr>
        <w:pStyle w:val="Heading3"/>
      </w:pPr>
      <w:r>
        <w:t>2. Wirkungsökonomischer Perspektivwechsel</w:t>
      </w:r>
    </w:p>
    <w:p>
      <w:pPr>
        <w:spacing w:after="120" w:line="259" w:lineRule="auto"/>
      </w:pPr>
      <w:r>
        <w:rPr>
          <w:rFonts w:ascii="Liberation Sans" w:hAnsi="Liberation Sans" w:eastAsia="Liberation Sans"/>
          <w:color w:val="2E2A2C"/>
          <w:sz w:val="21"/>
        </w:rPr>
        <w:t>Der Perspektivwechsel besteht darin, nicht die Aktivität selbst, sondern ihre Rückwirkung auf Zustände zu betrachten. Die Wirkungsökonomie fragt: Was wird stabilisiert, was wird geschwächt, welche Risiken entstehen, welche Potenziale werden freigesetzt und welche Rückkopplung verändert künftig Entscheidungen?</w:t>
      </w:r>
    </w:p>
    <w:p>
      <w:pPr>
        <w:spacing w:after="120" w:line="259" w:lineRule="auto"/>
      </w:pPr>
      <w:r>
        <w:rPr>
          <w:rFonts w:ascii="Liberation Sans" w:hAnsi="Liberation Sans" w:eastAsia="Liberation Sans"/>
          <w:color w:val="2E2A2C"/>
          <w:sz w:val="21"/>
        </w:rPr>
        <w:t>Der Referenzrahmen sind SDGs, Agenda 2030 und SDG+. Positive Zielwirkung bedeutet deshalb nicht private Moral, sondern positive Netto-Wirkung für Mensch, Planet und Demokratie. Schwere negative Wirkungen dürfen nicht beliebig durch positive Einzelwerte kompensiert werden.</w:t>
      </w:r>
    </w:p>
    <w:p>
      <w:pPr>
        <w:pStyle w:val="Heading3"/>
      </w:pPr>
      <w:r>
        <w:t>3. Systemarchitektur</w:t>
      </w:r>
    </w:p>
    <w:p>
      <w:pPr>
        <w:pStyle w:val="ListBullet"/>
        <w:spacing w:after="60"/>
      </w:pPr>
      <w:r>
        <w:rPr>
          <w:rFonts w:ascii="Liberation Sans" w:hAnsi="Liberation Sans" w:eastAsia="Liberation Sans"/>
          <w:color w:val="2E2A2C"/>
          <w:sz w:val="20"/>
        </w:rPr>
        <w:t>Akteure: Bürger:innen, Unternehmen, Verwaltung, Politik, Wissenschaft, Zivilgesellschaft und betroffene Gruppen.</w:t>
      </w:r>
    </w:p>
    <w:p>
      <w:pPr>
        <w:pStyle w:val="ListBullet"/>
        <w:spacing w:after="60"/>
      </w:pPr>
      <w:r>
        <w:rPr>
          <w:rFonts w:ascii="Liberation Sans" w:hAnsi="Liberation Sans" w:eastAsia="Liberation Sans"/>
          <w:color w:val="2E2A2C"/>
          <w:sz w:val="20"/>
        </w:rPr>
        <w:t>Wirkungsträger: Produkte, Regeln, Preise, Daten, Räume, Prozesse, Organisationen, Narrative oder Investitionen.</w:t>
      </w:r>
    </w:p>
    <w:p>
      <w:pPr>
        <w:pStyle w:val="ListBullet"/>
        <w:spacing w:after="60"/>
      </w:pPr>
      <w:r>
        <w:rPr>
          <w:rFonts w:ascii="Liberation Sans" w:hAnsi="Liberation Sans" w:eastAsia="Liberation Sans"/>
          <w:color w:val="2E2A2C"/>
          <w:sz w:val="20"/>
        </w:rPr>
        <w:t>Wirkungsempfänger: Menschen, Ökosysteme, demokratische Institutionen, künftige Generationen und lokale Gemeinschaften.</w:t>
      </w:r>
    </w:p>
    <w:p>
      <w:pPr>
        <w:pStyle w:val="ListBullet"/>
        <w:spacing w:after="60"/>
      </w:pPr>
      <w:r>
        <w:rPr>
          <w:rFonts w:ascii="Liberation Sans" w:hAnsi="Liberation Sans" w:eastAsia="Liberation Sans"/>
          <w:color w:val="2E2A2C"/>
          <w:sz w:val="20"/>
        </w:rPr>
        <w:t>Rückkopplungen: Steuern, Preise, Budgets, Förderlogiken, Beschaffung, Veröffentlichung, Rechtsschutz und öffentliche Debatte.</w:t>
      </w:r>
    </w:p>
    <w:p>
      <w:pPr>
        <w:pStyle w:val="ListBullet"/>
        <w:spacing w:after="60"/>
      </w:pPr>
      <w:r>
        <w:rPr>
          <w:rFonts w:ascii="Liberation Sans" w:hAnsi="Liberation Sans" w:eastAsia="Liberation Sans"/>
          <w:color w:val="2E2A2C"/>
          <w:sz w:val="20"/>
        </w:rPr>
        <w:t>Schutzmechanismen: Transparenz, Datenqualität, Nicht-Kompensation, Verhältnismäßigkeit, Rechtsschutz und demokratische Kontrolle.</w:t>
      </w:r>
    </w:p>
    <w:p>
      <w:pPr>
        <w:pStyle w:val="Heading3"/>
      </w:pPr>
      <w:r>
        <w:t>4. Mess-, Daten- und Bewertungslogik</w:t>
      </w:r>
    </w:p>
    <w:p>
      <w:pPr>
        <w:spacing w:after="120" w:line="259" w:lineRule="auto"/>
      </w:pPr>
      <w:r>
        <w:rPr>
          <w:rFonts w:ascii="Liberation Sans" w:hAnsi="Liberation Sans" w:eastAsia="Liberation Sans"/>
          <w:color w:val="2E2A2C"/>
          <w:sz w:val="21"/>
        </w:rPr>
        <w:t>Die konkrete Bewertung muss je nach Unterbereich andere Daten nutzen, bleibt aber methodisch anschlussfähig: WÖk-IDs übersetzen SDG-/SDG+-Bezüge in Indikatorfamilien; Scorecards strukturieren die Bewertung; Benchmarks und Archetypen übersetzen Messwerte in Stufen; der NWI fasst operative Netto-Wirkung zusammen; T-SROI kann Transformations- und Hebelwirkung ergänzend sichtbar machen.</w:t>
      </w:r>
    </w:p>
    <w:p>
      <w:pPr>
        <w:spacing w:after="120" w:line="259" w:lineRule="auto"/>
      </w:pPr>
      <w:r>
        <w:rPr>
          <w:rFonts w:ascii="Liberation Sans" w:hAnsi="Liberation Sans" w:eastAsia="Liberation Sans"/>
          <w:color w:val="2E2A2C"/>
          <w:sz w:val="21"/>
        </w:rPr>
        <w:t>Wo Daten fehlen, wird nicht spekuliert. Es wird mit Vertrauensstufen gearbeitet: geprüfte Daten, berichtete Daten, externe Referenzdaten, Schätzwerte, Modellannahmen. Jede Annahme muss kenntlich sein. Für öffentliche Tools gilt: modellhafte Demonstration, keine amtliche Einstufung und keine Beratung.</w:t>
      </w:r>
    </w:p>
    <w:p>
      <w:pPr>
        <w:pStyle w:val="Heading3"/>
      </w:pPr>
      <w:r>
        <w:t>5. Politische Anschlussfähigkeit</w:t>
      </w:r>
    </w:p>
    <w:p>
      <w:pPr>
        <w:spacing w:after="120" w:line="259" w:lineRule="auto"/>
      </w:pPr>
      <w:r>
        <w:rPr>
          <w:rFonts w:ascii="Liberation Sans" w:hAnsi="Liberation Sans" w:eastAsia="Liberation Sans"/>
          <w:color w:val="2E2A2C"/>
          <w:sz w:val="21"/>
        </w:rPr>
        <w:t>Politik muss hier nicht eine einzige ideologisch festgelegte Lösung übernehmen. Ihre Aufgabe besteht darin, Mindeststandards, Datenzugang, Verfahren, Schutzrechte und Rückkopplungen so zu gestalten, dass unterschiedliche demokratische Ausgestaltungspfade möglich bleiben.</w:t>
      </w:r>
    </w:p>
    <w:p>
      <w:pPr>
        <w:pStyle w:val="ListBullet"/>
        <w:spacing w:after="60"/>
      </w:pPr>
      <w:r>
        <w:rPr>
          <w:rFonts w:ascii="Liberation Sans" w:hAnsi="Liberation Sans" w:eastAsia="Liberation Sans"/>
          <w:color w:val="2E2A2C"/>
          <w:sz w:val="20"/>
        </w:rPr>
        <w:t>Mindestaufgabe: Wirkungen sichtbar und vergleichbar machen, ohne Grundrechte oder Pluralität einzuschränken.</w:t>
      </w:r>
    </w:p>
    <w:p>
      <w:pPr>
        <w:pStyle w:val="ListBullet"/>
        <w:spacing w:after="60"/>
      </w:pPr>
      <w:r>
        <w:rPr>
          <w:rFonts w:ascii="Liberation Sans" w:hAnsi="Liberation Sans" w:eastAsia="Liberation Sans"/>
          <w:color w:val="2E2A2C"/>
          <w:sz w:val="20"/>
        </w:rPr>
        <w:t>Ausgestaltungsoption Markt: Preise, Steuern, Förderungen und Beschaffung nach Wirkung ausrichten.</w:t>
      </w:r>
    </w:p>
    <w:p>
      <w:pPr>
        <w:pStyle w:val="ListBullet"/>
        <w:spacing w:after="60"/>
      </w:pPr>
      <w:r>
        <w:rPr>
          <w:rFonts w:ascii="Liberation Sans" w:hAnsi="Liberation Sans" w:eastAsia="Liberation Sans"/>
          <w:color w:val="2E2A2C"/>
          <w:sz w:val="20"/>
        </w:rPr>
        <w:t>Ausgestaltungsoption Staat: öffentliche Infrastruktur, Regulierung, Standards, Rechtsschutz und Evaluation stärken.</w:t>
      </w:r>
    </w:p>
    <w:p>
      <w:pPr>
        <w:pStyle w:val="ListBullet"/>
        <w:spacing w:after="60"/>
      </w:pPr>
      <w:r>
        <w:rPr>
          <w:rFonts w:ascii="Liberation Sans" w:hAnsi="Liberation Sans" w:eastAsia="Liberation Sans"/>
          <w:color w:val="2E2A2C"/>
          <w:sz w:val="20"/>
        </w:rPr>
        <w:t>Ausgestaltungsoption Kommune: lokale Piloträume, Beteiligung, Wirkungsbudgets und sozialräumliche Indikatoren nutzen.</w:t>
      </w:r>
    </w:p>
    <w:p>
      <w:pPr>
        <w:pStyle w:val="ListBullet"/>
        <w:spacing w:after="60"/>
      </w:pPr>
      <w:r>
        <w:rPr>
          <w:rFonts w:ascii="Liberation Sans" w:hAnsi="Liberation Sans" w:eastAsia="Liberation Sans"/>
          <w:color w:val="2E2A2C"/>
          <w:sz w:val="20"/>
        </w:rPr>
        <w:t>Ausgestaltungsoption sozial: Übergänge abfedern, Kaufkraftschutz, Teilhabe und Nicht-Diskriminierung sichern.</w:t>
      </w:r>
    </w:p>
    <w:p>
      <w:pPr>
        <w:pStyle w:val="ListBullet"/>
        <w:spacing w:after="60"/>
      </w:pPr>
      <w:r>
        <w:rPr>
          <w:rFonts w:ascii="Liberation Sans" w:hAnsi="Liberation Sans" w:eastAsia="Liberation Sans"/>
          <w:color w:val="2E2A2C"/>
          <w:sz w:val="20"/>
        </w:rPr>
        <w:t>Demokratische Offenheit: Parteien können unterschiedliche Gewichtungen, Zeithorizonte und Instrumente wählen, solange Wirkungsdaten transparent bleiben.</w:t>
      </w:r>
    </w:p>
    <w:p>
      <w:pPr>
        <w:pStyle w:val="Heading3"/>
      </w:pPr>
      <w:r>
        <w:t>6. Risiken, Nebenwirkungen und Schutz</w:t>
      </w:r>
    </w:p>
    <w:p>
      <w:pPr>
        <w:spacing w:after="120" w:line="259" w:lineRule="auto"/>
      </w:pPr>
      <w:r>
        <w:rPr>
          <w:rFonts w:ascii="Liberation Sans" w:hAnsi="Liberation Sans" w:eastAsia="Liberation Sans"/>
          <w:color w:val="2E2A2C"/>
          <w:sz w:val="21"/>
        </w:rPr>
        <w:t>Jede Wirkungssteuerung kann selbst Fehlwirkungen erzeugen. Risiken liegen in Datenmissbrauch, Scheingenauigkeit, Bürokratie, Benachteiligung kleiner Akteure, Lobbyeinfluss, technokratischer Übersteuerung oder sozialer Schieflage. Deshalb ist jedes Detailkonzept mit Schutzmechanismen auszustatten.</w:t>
      </w:r>
    </w:p>
    <w:p>
      <w:pPr>
        <w:pStyle w:val="ListBullet"/>
        <w:spacing w:after="60"/>
      </w:pPr>
      <w:r>
        <w:rPr>
          <w:rFonts w:ascii="Liberation Sans" w:hAnsi="Liberation Sans" w:eastAsia="Liberation Sans"/>
          <w:color w:val="2E2A2C"/>
          <w:sz w:val="20"/>
        </w:rPr>
        <w:t>Keine Personenbewertung und kein Social-Credit-System.</w:t>
      </w:r>
    </w:p>
    <w:p>
      <w:pPr>
        <w:pStyle w:val="ListBullet"/>
        <w:spacing w:after="60"/>
      </w:pPr>
      <w:r>
        <w:rPr>
          <w:rFonts w:ascii="Liberation Sans" w:hAnsi="Liberation Sans" w:eastAsia="Liberation Sans"/>
          <w:color w:val="2E2A2C"/>
          <w:sz w:val="20"/>
        </w:rPr>
        <w:t>Öffentliche Begründungspflicht für Bewertungskriterien.</w:t>
      </w:r>
    </w:p>
    <w:p>
      <w:pPr>
        <w:pStyle w:val="ListBullet"/>
        <w:spacing w:after="60"/>
      </w:pPr>
      <w:r>
        <w:rPr>
          <w:rFonts w:ascii="Liberation Sans" w:hAnsi="Liberation Sans" w:eastAsia="Liberation Sans"/>
          <w:color w:val="2E2A2C"/>
          <w:sz w:val="20"/>
        </w:rPr>
        <w:t>Einspruchs- und Korrekturverfahren.</w:t>
      </w:r>
    </w:p>
    <w:p>
      <w:pPr>
        <w:pStyle w:val="ListBullet"/>
        <w:spacing w:after="60"/>
      </w:pPr>
      <w:r>
        <w:rPr>
          <w:rFonts w:ascii="Liberation Sans" w:hAnsi="Liberation Sans" w:eastAsia="Liberation Sans"/>
          <w:color w:val="2E2A2C"/>
          <w:sz w:val="20"/>
        </w:rPr>
        <w:t>Verhältnismäßigkeit für kleine Akteure und Übergangsfristen.</w:t>
      </w:r>
    </w:p>
    <w:p>
      <w:pPr>
        <w:pStyle w:val="ListBullet"/>
        <w:spacing w:after="60"/>
      </w:pPr>
      <w:r>
        <w:rPr>
          <w:rFonts w:ascii="Liberation Sans" w:hAnsi="Liberation Sans" w:eastAsia="Liberation Sans"/>
          <w:color w:val="2E2A2C"/>
          <w:sz w:val="20"/>
        </w:rPr>
        <w:t>Unabhängige Evaluation durch geeignete Institutionen.</w:t>
      </w:r>
    </w:p>
    <w:p>
      <w:pPr>
        <w:pStyle w:val="ListBullet"/>
        <w:spacing w:after="60"/>
      </w:pPr>
      <w:r>
        <w:rPr>
          <w:rFonts w:ascii="Liberation Sans" w:hAnsi="Liberation Sans" w:eastAsia="Liberation Sans"/>
          <w:color w:val="2E2A2C"/>
          <w:sz w:val="20"/>
        </w:rPr>
        <w:t>Regelmäßige Überprüfung der Indikatoren und Benchmarks.</w:t>
      </w:r>
    </w:p>
    <w:p>
      <w:pPr>
        <w:pStyle w:val="Heading3"/>
      </w:pPr>
      <w:r>
        <w:t>7. Umsetzung und Pilotierung</w:t>
      </w:r>
    </w:p>
    <w:p>
      <w:pPr>
        <w:spacing w:after="120" w:line="259" w:lineRule="auto"/>
      </w:pPr>
      <w:r>
        <w:rPr>
          <w:rFonts w:ascii="Liberation Sans" w:hAnsi="Liberation Sans" w:eastAsia="Liberation Sans"/>
          <w:color w:val="2E2A2C"/>
          <w:sz w:val="21"/>
        </w:rPr>
        <w:t>Die Umsetzung sollte lernend erfolgen: Pilotraum, Datenprüfung, freiwillige Erprobung, Evaluation, öffentliche Konsultation, Anpassung und erst danach breitere Anwendung. So bleibt die Wirkungsökonomie anschlussfähig und schützt den demokratischen Diskurs vor der Behauptung, es gebe nur eine einzige zulässige Lösung.</w:t>
      </w:r>
    </w:p>
    <w:p>
      <w:pPr>
        <w:pStyle w:val="Heading3"/>
      </w:pPr>
      <w:r>
        <w:t>8. Online-, Dossier- und Toolbezug</w:t>
      </w:r>
    </w:p>
    <w:p>
      <w:pPr>
        <w:spacing w:after="120" w:line="259" w:lineRule="auto"/>
      </w:pPr>
      <w:r>
        <w:rPr>
          <w:rFonts w:ascii="Liberation Sans" w:hAnsi="Liberation Sans" w:eastAsia="Liberation Sans"/>
          <w:color w:val="2E2A2C"/>
          <w:sz w:val="21"/>
        </w:rPr>
        <w:t>Für diesen Unterbereich entstehen künftig drei öffentliche Zugänge: eine verständliche Online-Seite, ein vollständiges Detailkonzept als Download und ein Einzeldossier mit Beispielen, Datenquellen, Berechnungswegen und Toolbezug. Die Online-Fassung enthält keine internen Arbeitsanweisungen, sondern den vollständigen fachlichen Inhalt mit Inhaltsverzeichnis, Druckfunktion, SDG-/SDG+-Bezug, Buchankern und Glossarverknüpfungen.</w:t>
      </w:r>
    </w:p>
    <w:tbl>
      <w:tblPr>
        <w:tblW w:type="auto" w:w="0"/>
        <w:tblLook w:firstColumn="1" w:firstRow="1" w:lastColumn="0" w:lastRow="0" w:noHBand="0" w:noVBand="1" w:val="04A0"/>
      </w:tblPr>
      <w:tblGrid>
        <w:gridCol w:w="10166"/>
      </w:tblGrid>
      <w:tr>
        <w:tc>
          <w:tcPr>
            <w:tcW w:type="dxa" w:w="10166"/>
            <w:shd w:fill="F7F4ED"/>
            <w:tcBorders>
              <w:top w:val="single" w:sz="8" w:space="0" w:color="2B7D5C"/>
              <w:left w:val="single" w:sz="8" w:space="0" w:color="2B7D5C"/>
              <w:bottom w:val="single" w:sz="8" w:space="0" w:color="2B7D5C"/>
              <w:right w:val="single" w:sz="8" w:space="0" w:color="2B7D5C"/>
            </w:tcBorders>
          </w:tcPr>
          <w:p>
            <w:r>
              <w:rPr>
                <w:rFonts w:ascii="Liberation Sans" w:hAnsi="Liberation Sans" w:eastAsia="Liberation Sans"/>
                <w:b/>
                <w:color w:val="2B7D5C"/>
                <w:sz w:val="20"/>
              </w:rPr>
              <w:t>Kernformel</w:t>
              <w:br/>
            </w:r>
            <w:r>
              <w:rPr>
                <w:rFonts w:ascii="Liberation Sans" w:hAnsi="Liberation Sans" w:eastAsia="Liberation Sans"/>
                <w:color w:val="2E2A2C"/>
                <w:sz w:val="20"/>
              </w:rPr>
              <w:t>KMU-Tauglichkeit und Pilotierung: Nicht die Aktivität allein zählt, sondern ihre positive Netto-Wirkung, ihre Risiken und ihre demokratisch überprüfbare Rückkopplung.</w:t>
            </w:r>
          </w:p>
        </w:tc>
      </w:tr>
    </w:tbl>
    <w:p/>
    <w:p>
      <w:pPr>
        <w:pStyle w:val="Heading1"/>
      </w:pPr>
      <w:r>
        <w:t>Gemeinsame Veröffentlichungslogik</w:t>
      </w:r>
    </w:p>
    <w:p>
      <w:pPr>
        <w:spacing w:after="120" w:line="259" w:lineRule="auto"/>
      </w:pPr>
      <w:r>
        <w:rPr>
          <w:rFonts w:ascii="Liberation Sans" w:hAnsi="Liberation Sans" w:eastAsia="Liberation Sans"/>
          <w:color w:val="2E2A2C"/>
          <w:sz w:val="21"/>
        </w:rPr>
        <w:t>Jeder Unterbereich wird auf der Website als vollständige Online-Fassung veröffentlicht. Das Detailkonzept bildet die fachliche Grundlage, das Einzeldossier ergänzt Beispiele, Berechnungen, Datenquellen und Umsetzungsvarianten. Downloads sind Export und Archiv, nicht der Hauptzugang.</w:t>
      </w:r>
    </w:p>
    <w:p>
      <w:pPr>
        <w:pStyle w:val="Heading1"/>
      </w:pPr>
      <w:r>
        <w:t>Quellen- und Referenzrahmen</w:t>
      </w:r>
    </w:p>
    <w:p>
      <w:pPr>
        <w:pStyle w:val="ListBullet"/>
        <w:spacing w:after="60"/>
      </w:pPr>
      <w:r>
        <w:rPr>
          <w:rFonts w:ascii="Liberation Sans" w:hAnsi="Liberation Sans" w:eastAsia="Liberation Sans"/>
          <w:color w:val="2E2A2C"/>
          <w:sz w:val="20"/>
        </w:rPr>
        <w:t>Natalie Weber: Die neue Ordnung des Wohlstands - aktuelles Buch und Buchanker.</w:t>
      </w:r>
    </w:p>
    <w:p>
      <w:pPr>
        <w:pStyle w:val="ListBullet"/>
        <w:spacing w:after="60"/>
      </w:pPr>
      <w:r>
        <w:rPr>
          <w:rFonts w:ascii="Liberation Sans" w:hAnsi="Liberation Sans" w:eastAsia="Liberation Sans"/>
          <w:color w:val="2E2A2C"/>
          <w:sz w:val="20"/>
        </w:rPr>
        <w:t>Führender Begriffsleitfaden der Wirkungsökonomie, Version 1.0.</w:t>
      </w:r>
    </w:p>
    <w:p>
      <w:pPr>
        <w:pStyle w:val="ListBullet"/>
        <w:spacing w:after="60"/>
      </w:pPr>
      <w:r>
        <w:rPr>
          <w:rFonts w:ascii="Liberation Sans" w:hAnsi="Liberation Sans" w:eastAsia="Liberation Sans"/>
          <w:color w:val="2E2A2C"/>
          <w:sz w:val="20"/>
        </w:rPr>
        <w:t>Systemmodell der Wirkungsökonomie.</w:t>
      </w:r>
    </w:p>
    <w:p>
      <w:pPr>
        <w:pStyle w:val="ListBullet"/>
        <w:spacing w:after="60"/>
      </w:pPr>
      <w:r>
        <w:rPr>
          <w:rFonts w:ascii="Liberation Sans" w:hAnsi="Liberation Sans" w:eastAsia="Liberation Sans"/>
          <w:color w:val="2E2A2C"/>
          <w:sz w:val="20"/>
        </w:rPr>
        <w:t>Je nach Bereich: Produktpapier, T-SROI-Whitepaper, WStG, Wirkungsrat-Konzept, Wohnungsmarkt-Working-Paper, Lieferkettenpapier, WUStG-Leitlinien.</w:t>
      </w:r>
    </w:p>
    <w:p>
      <w:pPr>
        <w:pStyle w:val="ListBullet"/>
        <w:spacing w:after="60"/>
      </w:pPr>
      <w:r>
        <w:rPr>
          <w:rFonts w:ascii="Liberation Sans" w:hAnsi="Liberation Sans" w:eastAsia="Liberation Sans"/>
          <w:color w:val="2E2A2C"/>
          <w:sz w:val="20"/>
        </w:rPr>
        <w:t>Externe Anschlussquellen: UN-SDGs, UN-Indikatoren, CSRD/ESRS, EFRAG, GRI, Eurostat, Destatis, EU-Taxonomie, OECD-Leitlinien, soweit fachlich relevant.</w:t>
      </w:r>
    </w:p>
    <w:sectPr w:rsidR="00FC693F" w:rsidRPr="0006063C" w:rsidSect="00034616">
      <w:footerReference w:type="default" r:id="rId9"/>
      <w:pgSz w:w="12240" w:h="15840"/>
      <w:pgMar w:top="1037"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Liberation Sans" w:hAnsi="Liberation Sans" w:eastAsia="Liberation Sans"/>
        <w:color w:val="777777"/>
        <w:sz w:val="16"/>
      </w:rPr>
      <w:t>Wirkungsökonomie - Natalie Weber - öffentliche Arbeitsfassung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Liberation Sans" w:hAnsi="Liberation Sans" w:eastAsia="Liberation Sans"/>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Liberation Serif" w:hAnsi="Liberation Serif" w:eastAsia="Liberation Serif"/>
      <w:b/>
      <w:bCs/>
      <w:color w:val="0B1030"/>
      <w:sz w:val="4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Liberation Serif" w:hAnsi="Liberation Serif" w:eastAsia="Liberation Serif"/>
      <w:b/>
      <w:bCs/>
      <w:color w:val="0B1030"/>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Liberation Sans" w:hAnsi="Liberation Sans" w:eastAsia="Liberation Sans"/>
      <w:b/>
      <w:bCs/>
      <w:color w:val="2B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Liberation Serif" w:hAnsi="Liberation Serif" w:eastAsia="Liberation Serif"/>
      <w:b/>
      <w:color w:val="0B1030"/>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woek_wirtschaft_unternehmen_detailkonzepte_umfangreich_v0_2</dc:title>
  <dc:subject>Wirkungsökonomie</dc:subject>
  <dc:creator>Natalie Weber</dc:creator>
  <cp:keywords>Wirkungsökonomie, Natalie Weber, Wirkung statt Kapital, Mensch Planet Demokratie</cp:keywords>
  <dc:description>generated by python-docx</dc:description>
  <cp:lastModifiedBy/>
  <cp:revision>1</cp:revision>
  <dcterms:created xsi:type="dcterms:W3CDTF">2013-12-23T23:15:00Z</dcterms:created>
  <dcterms:modified xsi:type="dcterms:W3CDTF">2013-12-23T23:15:00Z</dcterms:modified>
  <cp:category/>
</cp:coreProperties>
</file>