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left"/>
      </w:pPr>
      <w:r>
        <w:rPr>
          <w:rFonts w:ascii="Georgia" w:hAnsi="Georgia"/>
          <w:b/>
          <w:color w:val="0B1020"/>
          <w:sz w:val="32"/>
        </w:rPr>
        <w:t>WIRKUNGSÖKONOMIE</w:t>
      </w:r>
    </w:p>
    <w:p>
      <w:r>
        <w:rPr>
          <w:rFonts w:ascii="Arial" w:hAnsi="Arial"/>
          <w:b/>
          <w:color w:val="C89B3C"/>
          <w:sz w:val="16"/>
        </w:rPr>
        <w:t>Für Mensch, Planet und Demokratie</w:t>
      </w:r>
    </w:p>
    <w:p>
      <w:pPr>
        <w:spacing w:before="720"/>
      </w:pPr>
      <w:r>
        <w:rPr>
          <w:rFonts w:ascii="Georgia" w:hAnsi="Georgia"/>
          <w:b/>
          <w:color w:val="0B1020"/>
          <w:sz w:val="52"/>
        </w:rPr>
        <w:t>Wissenschaft, Innovation &amp; Digitalisierung</w:t>
      </w:r>
    </w:p>
    <w:p>
      <w:r>
        <w:rPr>
          <w:rFonts w:ascii="Arial" w:hAnsi="Arial"/>
          <w:color w:val="2F7D5C"/>
          <w:sz w:val="24"/>
        </w:rPr>
        <w:t>Gesamtdossier mit Beispielen, Datenquellen, Bewertungslogik, Tools und politischer Umsetzung</w:t>
      </w:r>
    </w:p>
    <w:p/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Dokumenttyp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Gesamtdossier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Autorin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Natalie Weber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Referenz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Wirkungsökonomie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Version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v0.1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Status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Arbeits- und Diskussionsfassung</w:t>
            </w:r>
          </w:p>
        </w:tc>
      </w:tr>
      <w:tr>
        <w:tc>
          <w:tcPr>
            <w:tcW w:type="dxa" w:w="5184"/>
            <w:vAlign w:val="top"/>
            <w:tcW w:w="2448" w:type="dxa"/>
          </w:tcPr>
          <w:p>
            <w:r/>
            <w:r>
              <w:rPr>
                <w:b w:val="0"/>
                <w:sz w:val="17"/>
              </w:rPr>
              <w:t>Stand</w:t>
            </w:r>
          </w:p>
        </w:tc>
        <w:tc>
          <w:tcPr>
            <w:tcW w:type="dxa" w:w="5184"/>
            <w:vAlign w:val="top"/>
            <w:tcW w:w="6912" w:type="dxa"/>
          </w:tcPr>
          <w:p>
            <w:r/>
            <w:r>
              <w:rPr>
                <w:b w:val="0"/>
                <w:sz w:val="17"/>
              </w:rPr>
              <w:t>Mai 2026</w:t>
            </w:r>
          </w:p>
        </w:tc>
      </w:tr>
    </w:tbl>
    <w:p/>
    <w:p>
      <w:pPr>
        <w:spacing w:after="100" w:line="259" w:lineRule="auto"/>
      </w:pPr>
      <w:r>
        <w:t>Leitformel: Wirkung ist neutral und relational. Bewertet wird sie am Referenzrahmen der SDGs, der Agenda 2030 und SDG+. Ziel der Wirkungsökonomie ist positive Netto-Wirkung für Mensch, Planet und Demokratie.</w:t>
      </w:r>
    </w:p>
    <w:p>
      <w:r>
        <w:br w:type="page"/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Kurzfassung</w:t>
      </w:r>
    </w:p>
    <w:p>
      <w:pPr>
        <w:spacing w:after="100" w:line="259" w:lineRule="auto"/>
      </w:pPr>
      <w:r>
        <w:t>Wissenschaft, Innovation und Digitalisierung bilden in der Wirkungsökonomie die Erkenntnis- und Infrastrukturschicht der Transformation. Wissenschaft hält Wirklichkeit prüfbar. Innovation übersetzt Wissen in bessere Zustände. Digitalisierung macht Wirkung sichtbar, anschlussfähig, sicher, prüfbar und rückkoppelbar.</w:t>
      </w:r>
    </w:p>
    <w:p>
      <w:pPr>
        <w:spacing w:after="100" w:line="259" w:lineRule="auto"/>
      </w:pPr>
      <w:r>
        <w:t>Der Bereich wird nicht technikgläubig verstanden: Digitale Systeme, KI und Datenräume sind Werkzeuge, nicht neue Kompasse. Entscheidend bleibt positive Netto-Wirkung für Mensch, Planet und Demokratie.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Leitfragen</w:t>
      </w:r>
    </w:p>
    <w:p>
      <w:pPr>
        <w:pStyle w:val="ListBullet"/>
        <w:spacing w:after="40"/>
      </w:pPr>
      <w:r>
        <w:t>Wie wird Wissen so erzeugt, dass es frei, prüfbar, unabhängig und wirksam bleibt?</w:t>
      </w:r>
    </w:p>
    <w:p>
      <w:pPr>
        <w:pStyle w:val="ListBullet"/>
        <w:spacing w:after="40"/>
      </w:pPr>
      <w:r>
        <w:t>Wie wird Innovation nicht nur neu, sondern wirksam, resilient und demokratisch anschlussfähig?</w:t>
      </w:r>
    </w:p>
    <w:p>
      <w:pPr>
        <w:pStyle w:val="ListBullet"/>
        <w:spacing w:after="40"/>
      </w:pPr>
      <w:r>
        <w:t>Wie werden Datenräume, KI und digitale Infrastruktur so gestaltet, dass sie Rückkopplung ermöglichen, ohne Datenmacht zu zentralisieren?</w:t>
      </w:r>
    </w:p>
    <w:p>
      <w:pPr>
        <w:pStyle w:val="ListBullet"/>
        <w:spacing w:after="40"/>
      </w:pPr>
      <w:r>
        <w:t>Wie bleibt Wissenschaft frei und zugleich verantwortlich gegenüber gesellschaftlichen Wirkungen?</w:t>
      </w:r>
    </w:p>
    <w:p>
      <w:pPr>
        <w:pStyle w:val="ListBullet"/>
        <w:spacing w:after="40"/>
      </w:pPr>
      <w:r>
        <w:t>Wie verhindert Politik Technokratie, ohne Wissenschaftsfeindlichkeit zuzulassen?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1. Dossier-Logik</w:t>
      </w:r>
    </w:p>
    <w:p>
      <w:pPr>
        <w:spacing w:after="100" w:line="259" w:lineRule="auto"/>
      </w:pPr>
      <w:r>
        <w:t>Dieses Dossier übersetzt das Konzept in Anwendungslogik: Welche Daten werden benötigt, welche Beispiele zeigen die Wirkung, welche Tools und Rechner werden abgeleitet, und welche politischen Rahmenbedingungen sind notwendig?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2. Beispielrechnungen und Bewertungslogik</w:t>
      </w:r>
    </w:p>
    <w:p>
      <w:pPr>
        <w:spacing w:after="100" w:line="259" w:lineRule="auto"/>
      </w:pPr>
      <w:r>
        <w:t>Die folgenden Modelle sind Arbeitsmatrizen v0.1. Sie sind keine amtliche Bewertung, sondern dienen der Strukturierung von Wirkungsprüfung, Online-Tools und Pilotprojekten.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3456"/>
        <w:gridCol w:w="3456"/>
        <w:gridCol w:w="3456"/>
      </w:tblGrid>
      <w:tr>
        <w:tc>
          <w:tcPr>
            <w:tcW w:type="dxa" w:w="3456"/>
            <w:vAlign w:val="top"/>
            <w:tcW w:w="2304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Modul</w:t>
            </w:r>
          </w:p>
        </w:tc>
        <w:tc>
          <w:tcPr>
            <w:tcW w:type="dxa" w:w="3456"/>
            <w:vAlign w:val="top"/>
            <w:tcW w:w="2880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Beispiel</w:t>
            </w:r>
          </w:p>
        </w:tc>
        <w:tc>
          <w:tcPr>
            <w:tcW w:type="dxa" w:w="3456"/>
            <w:vAlign w:val="top"/>
            <w:tcW w:w="4176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Bewertungslogik</w:t>
            </w:r>
          </w:p>
        </w:tc>
      </w:tr>
      <w:tr>
        <w:tc>
          <w:tcPr>
            <w:tcW w:type="dxa" w:w="3456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Forschungs-Wirkungscheck</w:t>
            </w:r>
          </w:p>
        </w:tc>
        <w:tc>
          <w:tcPr>
            <w:tcW w:type="dxa" w:w="3456"/>
            <w:vAlign w:val="top"/>
            <w:tcW w:w="2880" w:type="dxa"/>
          </w:tcPr>
          <w:p>
            <w:r/>
            <w:r>
              <w:rPr>
                <w:b w:val="0"/>
                <w:sz w:val="17"/>
              </w:rPr>
              <w:t>Projekt zur Hitzeresilienz in Städten</w:t>
            </w:r>
          </w:p>
        </w:tc>
        <w:tc>
          <w:tcPr>
            <w:tcW w:type="dxa" w:w="3456"/>
            <w:vAlign w:val="top"/>
            <w:tcW w:w="4176" w:type="dxa"/>
          </w:tcPr>
          <w:p>
            <w:r/>
            <w:r>
              <w:rPr>
                <w:b w:val="0"/>
                <w:sz w:val="17"/>
              </w:rPr>
              <w:t>Erkenntniswirkung 25 %, Systemwirkung 25 %, Transdisziplinarität 15 %, Datenqualität 15 %, Freiheits-/Ethikschutz 10 %, Replikation/Korrektur 10 %</w:t>
            </w:r>
          </w:p>
        </w:tc>
      </w:tr>
      <w:tr>
        <w:tc>
          <w:tcPr>
            <w:tcW w:type="dxa" w:w="3456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KI-Wirkungsrisiko-Check</w:t>
            </w:r>
          </w:p>
        </w:tc>
        <w:tc>
          <w:tcPr>
            <w:tcW w:type="dxa" w:w="3456"/>
            <w:vAlign w:val="top"/>
            <w:tcW w:w="2880" w:type="dxa"/>
          </w:tcPr>
          <w:p>
            <w:r/>
            <w:r>
              <w:rPr>
                <w:b w:val="0"/>
                <w:sz w:val="17"/>
              </w:rPr>
              <w:t>KI für Pflegeplanung</w:t>
            </w:r>
          </w:p>
        </w:tc>
        <w:tc>
          <w:tcPr>
            <w:tcW w:type="dxa" w:w="3456"/>
            <w:vAlign w:val="top"/>
            <w:tcW w:w="4176" w:type="dxa"/>
          </w:tcPr>
          <w:p>
            <w:r/>
            <w:r>
              <w:rPr>
                <w:b w:val="0"/>
                <w:sz w:val="17"/>
              </w:rPr>
              <w:t>Nutzenpotenzial, Datenqualität, Bias, Erklärbarkeit, Menschenaufsicht, Datenschutz, Arbeitswirkung, Korrekturverfahren</w:t>
            </w:r>
          </w:p>
        </w:tc>
      </w:tr>
      <w:tr>
        <w:tc>
          <w:tcPr>
            <w:tcW w:type="dxa" w:w="3456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Datenraum-Reifegradcheck</w:t>
            </w:r>
          </w:p>
        </w:tc>
        <w:tc>
          <w:tcPr>
            <w:tcW w:type="dxa" w:w="3456"/>
            <w:vAlign w:val="top"/>
            <w:tcW w:w="2880" w:type="dxa"/>
          </w:tcPr>
          <w:p>
            <w:r/>
            <w:r>
              <w:rPr>
                <w:b w:val="0"/>
                <w:sz w:val="17"/>
              </w:rPr>
              <w:t>Kommunaler Gesundheitsdatenraum</w:t>
            </w:r>
          </w:p>
        </w:tc>
        <w:tc>
          <w:tcPr>
            <w:tcW w:type="dxa" w:w="3456"/>
            <w:vAlign w:val="top"/>
            <w:tcW w:w="4176" w:type="dxa"/>
          </w:tcPr>
          <w:p>
            <w:r/>
            <w:r>
              <w:rPr>
                <w:b w:val="0"/>
                <w:sz w:val="17"/>
              </w:rPr>
              <w:t>Interoperabilität, Rollenrechte, Datenschutz, Datenqualität, Rückkopplung in Prävention, Audit-Trail</w:t>
            </w:r>
          </w:p>
        </w:tc>
      </w:tr>
      <w:tr>
        <w:tc>
          <w:tcPr>
            <w:tcW w:type="dxa" w:w="3456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Open-Science-Check</w:t>
            </w:r>
          </w:p>
        </w:tc>
        <w:tc>
          <w:tcPr>
            <w:tcW w:type="dxa" w:w="3456"/>
            <w:vAlign w:val="top"/>
            <w:tcW w:w="2880" w:type="dxa"/>
          </w:tcPr>
          <w:p>
            <w:r/>
            <w:r>
              <w:rPr>
                <w:b w:val="0"/>
                <w:sz w:val="17"/>
              </w:rPr>
              <w:t>Öffentlich gefördertes Forschungsprojekt</w:t>
            </w:r>
          </w:p>
        </w:tc>
        <w:tc>
          <w:tcPr>
            <w:tcW w:type="dxa" w:w="3456"/>
            <w:vAlign w:val="top"/>
            <w:tcW w:w="4176" w:type="dxa"/>
          </w:tcPr>
          <w:p>
            <w:r/>
            <w:r>
              <w:rPr>
                <w:b w:val="0"/>
                <w:sz w:val="17"/>
              </w:rPr>
              <w:t>Open Access, Open Data, Schutzgrenzen, Replikationsfähigkeit, Interessenoffenlegung, Methodentransparenz</w:t>
            </w:r>
          </w:p>
        </w:tc>
      </w:tr>
      <w:tr>
        <w:tc>
          <w:tcPr>
            <w:tcW w:type="dxa" w:w="3456"/>
            <w:vAlign w:val="top"/>
            <w:tcW w:w="2304" w:type="dxa"/>
          </w:tcPr>
          <w:p>
            <w:r/>
            <w:r>
              <w:rPr>
                <w:b w:val="0"/>
                <w:sz w:val="17"/>
              </w:rPr>
              <w:t>Innovations-Wirkungsportfolio</w:t>
            </w:r>
          </w:p>
        </w:tc>
        <w:tc>
          <w:tcPr>
            <w:tcW w:type="dxa" w:w="3456"/>
            <w:vAlign w:val="top"/>
            <w:tcW w:w="2880" w:type="dxa"/>
          </w:tcPr>
          <w:p>
            <w:r/>
            <w:r>
              <w:rPr>
                <w:b w:val="0"/>
                <w:sz w:val="17"/>
              </w:rPr>
              <w:t>Deep-Tech-Start-up für Kreislaufmaterialien</w:t>
            </w:r>
          </w:p>
        </w:tc>
        <w:tc>
          <w:tcPr>
            <w:tcW w:type="dxa" w:w="3456"/>
            <w:vAlign w:val="top"/>
            <w:tcW w:w="4176" w:type="dxa"/>
          </w:tcPr>
          <w:p>
            <w:r/>
            <w:r>
              <w:rPr>
                <w:b w:val="0"/>
                <w:sz w:val="17"/>
              </w:rPr>
              <w:t>Netto-Wirkung, Skalierbarkeit, Ressourcenwirkung, Finanzierungsbedarf, Systemrisiko, Nebenwirkungen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3. Datenquellenregister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3456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Datenquelle</w:t>
            </w:r>
          </w:p>
        </w:tc>
        <w:tc>
          <w:tcPr>
            <w:tcW w:type="dxa" w:w="5184"/>
            <w:vAlign w:val="top"/>
            <w:tcW w:w="5903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Nutzung im Portal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Horizon Europe, BMBF/Bund, DFG, Fraunhofer, Helmholtz, Hochschulberichte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Forschungsförderung, Missionslogik, Transfer, offene Daten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EU AI Act, AI-Register, Modellkarten, Auditberichte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KI-Risikoprüfung, Transparenz, Hochrisiko-Klassifikation, Governance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EU Data Act, Data Governance Act, Data Spaces, EHDS, EOSC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Datenzugang, Interoperabilität, Datenrechte, Forschungsdatenräume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Open Science Repositorien, Präregistrierung, Replikationsdatenbanken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Prüfbarkeit, Reproduktion, Open-Science-Score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Cybersecurity-Berichte, Incident-Daten, BSI/ENISA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Cyberresilienz, kritische Wissensinfrastruktur</w:t>
            </w:r>
          </w:p>
        </w:tc>
      </w:tr>
      <w:tr>
        <w:tc>
          <w:tcPr>
            <w:tcW w:type="dxa" w:w="5184"/>
            <w:vAlign w:val="top"/>
            <w:tcW w:w="3456" w:type="dxa"/>
          </w:tcPr>
          <w:p>
            <w:r/>
            <w:r>
              <w:rPr>
                <w:b w:val="0"/>
                <w:sz w:val="17"/>
              </w:rPr>
              <w:t>WÖk-IDs, SDG-/SDG+-Matrix, Scorecards, NWI/T-SROI</w:t>
            </w:r>
          </w:p>
        </w:tc>
        <w:tc>
          <w:tcPr>
            <w:tcW w:type="dxa" w:w="5184"/>
            <w:vAlign w:val="top"/>
            <w:tcW w:w="5903" w:type="dxa"/>
          </w:tcPr>
          <w:p>
            <w:r/>
            <w:r>
              <w:rPr>
                <w:b w:val="0"/>
                <w:sz w:val="17"/>
              </w:rPr>
              <w:t>Wirkungsbewertung und Querverlinkung zu anderen Portalen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4. Tool-Suite: Eingaben und Ausgaben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Forschungs-Wirkungscheck</w:t>
      </w:r>
    </w:p>
    <w:p>
      <w:pPr>
        <w:spacing w:after="100" w:line="259" w:lineRule="auto"/>
      </w:pPr>
      <w:r>
        <w:t>Bewertet Erkenntniswirkung, Systemwirkung, Freiheitswirkung, Integrität, Replikation und Wirkungspfad eines Forschungsvorhabens.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Open-Science- und Replikationscheck</w:t>
      </w:r>
    </w:p>
    <w:p>
      <w:pPr>
        <w:spacing w:after="100" w:line="259" w:lineRule="auto"/>
      </w:pPr>
      <w:r>
        <w:t>Prüft Datenoffenheit, Methodentransparenz, Replikationsfähigkeit, Schutzgrenzen und Interessenkonflikte.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KI-Wirkungsrisiko-Check</w:t>
      </w:r>
    </w:p>
    <w:p>
      <w:pPr>
        <w:spacing w:after="100" w:line="259" w:lineRule="auto"/>
      </w:pPr>
      <w:r>
        <w:t>Bewertet KI-Systeme nach Risiko, Fairness, Erklärbarkeit, Menschenaufsicht, Manipulationsgefahr und SDG+/Demokratiebezug.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Datenraum-Reifegradcheck</w:t>
      </w:r>
    </w:p>
    <w:p>
      <w:pPr>
        <w:spacing w:after="100" w:line="259" w:lineRule="auto"/>
      </w:pPr>
      <w:r>
        <w:t>Bewertet Interoperabilität, Datenqualität, Rollenrechte, Datenschutz, Audit-Trail und Rückkopplungspfad.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Innovations-Wirkungsportfolio</w:t>
      </w:r>
    </w:p>
    <w:p>
      <w:pPr>
        <w:spacing w:after="100" w:line="259" w:lineRule="auto"/>
      </w:pPr>
      <w:r>
        <w:t>Ordnet Innovationsprojekte nach Netto-Wirkung, Nebenwirkungen, Skalierbarkeit, Transformationspfad und Resilienzbeitrag.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Wissensrat-/Integritätsregister</w:t>
      </w:r>
    </w:p>
    <w:p>
      <w:pPr>
        <w:spacing w:after="100" w:line="259" w:lineRule="auto"/>
      </w:pPr>
      <w:r>
        <w:t>Macht Interessenbindungen, Methodik, Replikationsstatus und Korrekturverfahren nachvollziehbar.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2"/>
        <w:spacing w:before="120" w:after="80"/>
      </w:pPr>
      <w:r>
        <w:rPr>
          <w:rFonts w:ascii="Georgia" w:hAnsi="Georgia"/>
          <w:b/>
          <w:color w:val="0B1020"/>
          <w:sz w:val="30"/>
        </w:rPr>
        <w:t>Digital-Souveränitätscheck</w:t>
      </w:r>
    </w:p>
    <w:p>
      <w:pPr>
        <w:spacing w:after="100" w:line="259" w:lineRule="auto"/>
      </w:pPr>
      <w:r>
        <w:t>Prüft digitale Infrastruktur auf offene Standards, Exit-Optionen, Barrierefreiheit, Datenschutz und öffentliche Kontrolle.</w:t>
      </w:r>
    </w:p>
    <w:p>
      <w:pPr>
        <w:pStyle w:val="ListBullet"/>
        <w:spacing w:after="40"/>
      </w:pPr>
      <w:r>
        <w:t>Eingaben: Projektbeschreibung, Kontext, Datenstatus, Risikoklasse, Zielzustand, SDG-/SDG+-Bezug.</w:t>
      </w:r>
    </w:p>
    <w:p>
      <w:pPr>
        <w:pStyle w:val="ListBullet"/>
        <w:spacing w:after="40"/>
      </w:pPr>
      <w:r>
        <w:t>Ausgaben: Wirkungsprofil, Datenqualitätsklasse, Risikohinweise, politische/organisatorische Empfehlungen, Verweise auf Detailkonzepte.</w:t>
      </w:r>
    </w:p>
    <w:p>
      <w:pPr>
        <w:pStyle w:val="ListBullet"/>
        <w:spacing w:after="40"/>
      </w:pPr>
      <w:r>
        <w:t>Schutz: keine Personenbewertung, keine automatisierte Förderentscheidung ohne menschliche Prüfung.</w:t>
      </w:r>
    </w:p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5. Politische Anschlussfähigkeit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84"/>
        <w:gridCol w:w="5184"/>
      </w:tblGrid>
      <w:tr>
        <w:tc>
          <w:tcPr>
            <w:tcW w:type="dxa" w:w="5184"/>
            <w:vAlign w:val="top"/>
            <w:tcW w:w="2664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Ebene</w:t>
            </w:r>
          </w:p>
        </w:tc>
        <w:tc>
          <w:tcPr>
            <w:tcW w:type="dxa" w:w="5184"/>
            <w:vAlign w:val="top"/>
            <w:tcW w:w="6696" w:type="dxa"/>
            <w:shd w:fill="EFE7D8"/>
          </w:tcPr>
          <w:p>
            <w:r/>
            <w:r>
              <w:rPr>
                <w:b/>
                <w:color w:val="0B1020"/>
                <w:sz w:val="17"/>
              </w:rPr>
              <w:t>Aufgabe für Politik und Umsetzung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Aufgabe der Politik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Forschung, Innovation und Digitalisierung als Wirkungsinfrastruktur sichern: frei, offen, prüfbar, digital souverän und demokratisch kontrollierbar.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Politische Rahmenbedingungen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Open-Science-Regeln, Forschungsintegrität, KI- und Datenraumregulierung, digitale öffentliche Infrastruktur, Cyberresilienz, Forschungsförderung nach Wirkung.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Ausgestaltungsspielraum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Parteien können Tempo, Institutionen, Förderprioritäten, Sandboxes, Steueranreize, öffentlich-private Kooperationen und Schutzgrenzen unterschiedlich setzen.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Zielkonflikte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Wissenschaftsfreiheit vs. Missionsorientierung, Offenheit vs. Datenschutz/Sicherheit, Innovation vs. Missbrauchsrisiko, Geschwindigkeit vs. Prüfung, Souveränität vs. globale Kooperation.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Rollenverteilung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EU, Bund, Länder, Hochschulen, Forschungsorganisationen, Unternehmen, Start-ups, Zivilgesellschaft, Kommunen und Bürger:innen tragen unterschiedliche Verantwortung.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Übergang und Schutz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Pilotprogramme, Reallabore, Replikationsfonds, KI-Sandboxes, Datenschutz-by-Design, KMU-Entlastung und Schutz vor Wissenschaftsfeindlichkeit.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Evaluation und Korrektur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Wissenschafts-Wirkungsberichte, Revisionszyklen, öffentliche Datenräume, Wirkungsindikatoren, unabhängige Assurance und offene Korrekturverfahren.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Parteipolitische Anschlussfähigkeit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Liberale, konservative, sozialdemokratische, grüne, linke, technologieoffene und kommunale Perspektiven können unterschiedliche Wege wählen.</w:t>
            </w:r>
          </w:p>
        </w:tc>
      </w:tr>
      <w:tr>
        <w:tc>
          <w:tcPr>
            <w:tcW w:type="dxa" w:w="5184"/>
            <w:vAlign w:val="top"/>
            <w:tcW w:w="2664" w:type="dxa"/>
          </w:tcPr>
          <w:p>
            <w:r/>
            <w:r>
              <w:rPr>
                <w:b w:val="0"/>
                <w:sz w:val="17"/>
              </w:rPr>
              <w:t>Schutz vor Technokratie</w:t>
            </w:r>
          </w:p>
        </w:tc>
        <w:tc>
          <w:tcPr>
            <w:tcW w:type="dxa" w:w="5184"/>
            <w:vAlign w:val="top"/>
            <w:tcW w:w="6696" w:type="dxa"/>
          </w:tcPr>
          <w:p>
            <w:r/>
            <w:r>
              <w:rPr>
                <w:b w:val="0"/>
                <w:sz w:val="17"/>
              </w:rPr>
              <w:t>Wissenschaft liefert geprüfte Wirklichkeit und Optionen. Politische Entscheidungen bleiben demokratisch legitimiert; KI und Daten ersetzen keine Verantwortung.</w:t>
            </w:r>
          </w:p>
        </w:tc>
      </w:tr>
    </w:tbl>
    <w:p/>
    <w:p>
      <w:pPr>
        <w:pStyle w:val="Heading1"/>
        <w:spacing w:before="200" w:after="80"/>
      </w:pPr>
      <w:r>
        <w:rPr>
          <w:rFonts w:ascii="Georgia" w:hAnsi="Georgia"/>
          <w:b/>
          <w:color w:val="0B1020"/>
          <w:sz w:val="40"/>
        </w:rPr>
        <w:t>6. Quellen und Online-Verweise</w:t>
      </w:r>
    </w:p>
    <w:p>
      <w:pPr>
        <w:pStyle w:val="ListBullet"/>
        <w:spacing w:after="40"/>
      </w:pPr>
      <w:r>
        <w:t>EU AI Act - Europäischer Rechtsrahmen für KI-Risiken, in Kraft seit 1. August 2024, schrittweise anwendbar bis 2026/2027: https://digital-strategy.ec.europa.eu/en/policies/regulatory-framework-ai</w:t>
      </w:r>
    </w:p>
    <w:p>
      <w:pPr>
        <w:pStyle w:val="ListBullet"/>
        <w:spacing w:after="40"/>
      </w:pPr>
      <w:r>
        <w:t>EU Data Act - anwendbar seit 12. September 2025: https://digital-strategy.ec.europa.eu/en/policies/data-act</w:t>
      </w:r>
    </w:p>
    <w:p>
      <w:pPr>
        <w:pStyle w:val="ListBullet"/>
        <w:spacing w:after="40"/>
      </w:pPr>
      <w:r>
        <w:t>Europe’s Digital Decade - messbare Ziele bis 2030 in digital skills, infrastructure, business und public services: https://digital-strategy.ec.europa.eu/en/policies/europes-digital-decade</w:t>
      </w:r>
    </w:p>
    <w:p>
      <w:pPr>
        <w:pStyle w:val="ListBullet"/>
        <w:spacing w:after="40"/>
      </w:pPr>
      <w:r>
        <w:t>UNESCO Recommendation on Open Science - 2021 von 194 Ländern angenommen: https://www.unesco.org/en/open-science</w:t>
      </w:r>
    </w:p>
    <w:p>
      <w:pPr>
        <w:pStyle w:val="ListBullet"/>
        <w:spacing w:after="40"/>
      </w:pPr>
      <w:r>
        <w:t>EU Open Science Policy / European Open Science Cloud: https://research-and-innovation.ec.europa.eu/strategy/strategy-research-and-innovation/our-digital-future/open-science_en</w:t>
      </w:r>
    </w:p>
    <w:p>
      <w:pPr>
        <w:pStyle w:val="ListBullet"/>
        <w:spacing w:after="40"/>
      </w:pPr>
      <w:r>
        <w:t>Horizon Europe 2021-2027 - EU-Forschungs- und Innovationsprogramm: https://commission.europa.eu/funding-tenders/find-funding/eu-funding-programmes/horizon-europe_en</w:t>
      </w:r>
    </w:p>
    <w:p>
      <w:pPr>
        <w:pStyle w:val="ListBullet"/>
        <w:spacing w:after="40"/>
      </w:pPr>
      <w:r>
        <w:t>OECD Mission-Oriented Innovation - klare Ziele und Zeitrahmen für komplexe gesellschaftliche Herausforderungen: https://www.oecd.org/en/topics/sub-issues/mission-oriented-innovation.html</w:t>
      </w:r>
    </w:p>
    <w:sectPr w:rsidR="00FC693F" w:rsidRPr="0006063C" w:rsidSect="00034616">
      <w:pgSz w:w="12240" w:h="15840"/>
      <w:pgMar w:top="936" w:right="936" w:bottom="936" w:left="93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color w:val="252A2C"/>
      <w:sz w:val="18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Georgia" w:hAnsi="Georgia"/>
      <w:b/>
      <w:bCs/>
      <w:color w:val="0B10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Georgia" w:hAnsi="Georgia"/>
      <w:b/>
      <w:bCs/>
      <w:color w:val="0B102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Georgia" w:hAnsi="Georgia"/>
      <w:b/>
      <w:bCs/>
      <w:color w:val="0B1020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