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woek_signet.png"/>
                    <pic:cNvPicPr/>
                  </pic:nvPicPr>
                  <pic:blipFill>
                    <a:blip r:embed="rId11"/>
                    <a:stretch>
                      <a:fillRect/>
                    </a:stretch>
                  </pic:blipFill>
                  <pic:spPr>
                    <a:xfrm>
                      <a:off x="0" y="0"/>
                      <a:ext cx="914400" cy="914400"/>
                    </a:xfrm>
                    <a:prstGeom prst="rect"/>
                  </pic:spPr>
                </pic:pic>
              </a:graphicData>
            </a:graphic>
          </wp:inline>
        </w:drawing>
      </w:r>
    </w:p>
    <w:p>
      <w:pPr>
        <w:jc w:val="center"/>
      </w:pPr>
      <w:r>
        <w:rPr>
          <w:rFonts w:ascii="Georgia" w:hAnsi="Georgia"/>
          <w:b/>
          <w:color w:val="001D30"/>
          <w:sz w:val="28"/>
        </w:rPr>
        <w:t>WIRKUNGSÖKONOMIE</w:t>
      </w:r>
    </w:p>
    <w:p>
      <w:pPr>
        <w:jc w:val="center"/>
      </w:pPr>
      <w:r>
        <w:rPr>
          <w:rFonts w:ascii="Arial" w:hAnsi="Arial"/>
          <w:b/>
          <w:color w:val="C89B3C"/>
          <w:sz w:val="16"/>
        </w:rPr>
        <w:t>DETAILKONZEPT</w:t>
      </w:r>
    </w:p>
    <w:p>
      <w:pPr>
        <w:jc w:val="center"/>
      </w:pPr>
      <w:r>
        <w:rPr>
          <w:rFonts w:ascii="Georgia" w:hAnsi="Georgia"/>
          <w:b/>
          <w:color w:val="001D30"/>
          <w:sz w:val="50"/>
        </w:rPr>
        <w:t>Investor:innen und Vermieter:innen im wirkungsökonomischen Wohnungsmarkt</w:t>
      </w:r>
    </w:p>
    <w:p>
      <w:pPr>
        <w:jc w:val="center"/>
      </w:pPr>
      <w:r>
        <w:rPr>
          <w:rFonts w:ascii="Georgia" w:hAnsi="Georgia"/>
          <w:color w:val="2E7D5C"/>
          <w:sz w:val="28"/>
        </w:rPr>
        <w:t>Verantwortliches Eigentum, gute Vermietung, Spekulationsschutz und Stranded-Asset-Prävention</w:t>
      </w:r>
    </w:p>
    <w:p/>
    <w:p/>
    <w:tbl>
      <w:tblPr>
        <w:tblStyle w:val="TableGrid"/>
        <w:tblW w:type="auto" w:w="0"/>
        <w:jc w:val="center"/>
        <w:tblLook w:firstColumn="1" w:firstRow="1" w:lastColumn="0" w:lastRow="0" w:noHBand="0" w:noVBand="1" w:val="04A0"/>
      </w:tblPr>
      <w:tblGrid>
        <w:gridCol w:w="5040"/>
        <w:gridCol w:w="5040"/>
      </w:tblGrid>
      <w:tr>
        <w:tc>
          <w:tcPr>
            <w:tcW w:type="dxa" w:w="5040"/>
            <w:shd w:fill="F6F1E8"/>
          </w:tcPr>
          <w:p>
            <w:r>
              <w:rPr>
                <w:rFonts w:ascii="Arial" w:hAnsi="Arial"/>
                <w:b/>
                <w:color w:val="001D30"/>
                <w:sz w:val="18"/>
              </w:rPr>
              <w:t>Autorin</w:t>
            </w:r>
          </w:p>
        </w:tc>
        <w:tc>
          <w:tcPr>
            <w:tcW w:type="dxa" w:w="5040"/>
          </w:tcPr>
          <w:p>
            <w:r>
              <w:rPr>
                <w:rFonts w:ascii="Arial" w:hAnsi="Arial"/>
                <w:sz w:val="18"/>
              </w:rPr>
              <w:t>Natalie Weber</w:t>
            </w:r>
          </w:p>
        </w:tc>
      </w:tr>
      <w:tr>
        <w:tc>
          <w:tcPr>
            <w:tcW w:type="dxa" w:w="5040"/>
            <w:shd w:fill="F6F1E8"/>
          </w:tcPr>
          <w:p>
            <w:r>
              <w:rPr>
                <w:rFonts w:ascii="Arial" w:hAnsi="Arial"/>
                <w:b/>
                <w:color w:val="001D30"/>
                <w:sz w:val="18"/>
              </w:rPr>
              <w:t>Referenz</w:t>
            </w:r>
          </w:p>
        </w:tc>
        <w:tc>
          <w:tcPr>
            <w:tcW w:type="dxa" w:w="5040"/>
          </w:tcPr>
          <w:p>
            <w:r>
              <w:rPr>
                <w:rFonts w:ascii="Arial" w:hAnsi="Arial"/>
                <w:sz w:val="18"/>
              </w:rPr>
              <w:t>Wirkungsökonomie</w:t>
            </w:r>
          </w:p>
        </w:tc>
      </w:tr>
      <w:tr>
        <w:tc>
          <w:tcPr>
            <w:tcW w:type="dxa" w:w="5040"/>
            <w:shd w:fill="F6F1E8"/>
          </w:tcPr>
          <w:p>
            <w:r>
              <w:rPr>
                <w:rFonts w:ascii="Arial" w:hAnsi="Arial"/>
                <w:b/>
                <w:color w:val="001D30"/>
                <w:sz w:val="18"/>
              </w:rPr>
              <w:t>Version</w:t>
            </w:r>
          </w:p>
        </w:tc>
        <w:tc>
          <w:tcPr>
            <w:tcW w:type="dxa" w:w="5040"/>
          </w:tcPr>
          <w:p>
            <w:r>
              <w:rPr>
                <w:rFonts w:ascii="Arial" w:hAnsi="Arial"/>
                <w:sz w:val="18"/>
              </w:rPr>
              <w:t>v0.3</w:t>
            </w:r>
          </w:p>
        </w:tc>
      </w:tr>
      <w:tr>
        <w:tc>
          <w:tcPr>
            <w:tcW w:type="dxa" w:w="5040"/>
            <w:shd w:fill="F6F1E8"/>
          </w:tcPr>
          <w:p>
            <w:r>
              <w:rPr>
                <w:rFonts w:ascii="Arial" w:hAnsi="Arial"/>
                <w:b/>
                <w:color w:val="001D30"/>
                <w:sz w:val="18"/>
              </w:rPr>
              <w:t>Status</w:t>
            </w:r>
          </w:p>
        </w:tc>
        <w:tc>
          <w:tcPr>
            <w:tcW w:type="dxa" w:w="5040"/>
          </w:tcPr>
          <w:p>
            <w:r>
              <w:rPr>
                <w:rFonts w:ascii="Arial" w:hAnsi="Arial"/>
                <w:sz w:val="18"/>
              </w:rPr>
              <w:t>erweiterte öffentliche Ausarbeitung</w:t>
            </w:r>
          </w:p>
        </w:tc>
      </w:tr>
      <w:tr>
        <w:tc>
          <w:tcPr>
            <w:tcW w:type="dxa" w:w="5040"/>
            <w:shd w:fill="F6F1E8"/>
          </w:tcPr>
          <w:p>
            <w:r>
              <w:rPr>
                <w:rFonts w:ascii="Arial" w:hAnsi="Arial"/>
                <w:b/>
                <w:color w:val="001D30"/>
                <w:sz w:val="18"/>
              </w:rPr>
              <w:t>Stand</w:t>
            </w:r>
          </w:p>
        </w:tc>
        <w:tc>
          <w:tcPr>
            <w:tcW w:type="dxa" w:w="5040"/>
          </w:tcPr>
          <w:p>
            <w:r>
              <w:rPr>
                <w:rFonts w:ascii="Arial" w:hAnsi="Arial"/>
                <w:sz w:val="18"/>
              </w:rPr>
              <w:t>24. Mai 2026</w:t>
            </w:r>
          </w:p>
        </w:tc>
      </w:tr>
    </w:tbl>
    <w:p>
      <w:pPr>
        <w:pStyle w:val="QuoteWoeK"/>
        <w:jc w:val="center"/>
      </w:pPr>
      <w:r>
        <w:t>„Kapital darf im Wohnungsmarkt wirken – aber es darf Wohnen nicht ersetzen.“</w:t>
      </w:r>
    </w:p>
    <w:p>
      <w:r>
        <w:br w:type="page"/>
      </w:r>
    </w:p>
    <w:p>
      <w:pPr>
        <w:pStyle w:val="Heading1"/>
      </w:pPr>
      <w:r>
        <w:t>Kurzprofil</w:t>
      </w:r>
    </w:p>
    <w:tbl>
      <w:tblPr>
        <w:tblStyle w:val="TableGrid"/>
        <w:tblW w:type="auto" w:w="0"/>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Metadatum</w:t>
            </w:r>
          </w:p>
        </w:tc>
        <w:tc>
          <w:tcPr>
            <w:tcW w:type="dxa" w:w="5040"/>
            <w:shd w:fill="001D30"/>
          </w:tcPr>
          <w:p>
            <w:r>
              <w:rPr>
                <w:rFonts w:ascii="Arial" w:hAnsi="Arial"/>
                <w:b/>
                <w:color w:val="FFFFFF"/>
                <w:sz w:val="16"/>
              </w:rPr>
              <w:t>Angabe</w:t>
            </w:r>
          </w:p>
        </w:tc>
      </w:tr>
      <w:tr>
        <w:tc>
          <w:tcPr>
            <w:tcW w:type="dxa" w:w="5040"/>
            <w:shd w:fill="F6F1E8"/>
          </w:tcPr>
          <w:p>
            <w:r>
              <w:rPr>
                <w:rFonts w:ascii="Arial" w:hAnsi="Arial"/>
                <w:b/>
                <w:color w:val="001D30"/>
                <w:sz w:val="17"/>
              </w:rPr>
              <w:t>Dokumenttyp</w:t>
            </w:r>
          </w:p>
        </w:tc>
        <w:tc>
          <w:tcPr>
            <w:tcW w:type="dxa" w:w="5040"/>
          </w:tcPr>
          <w:p>
            <w:r>
              <w:rPr>
                <w:rFonts w:ascii="Arial" w:hAnsi="Arial"/>
                <w:sz w:val="17"/>
              </w:rPr>
              <w:t>Öffentliches Detailkonzept</w:t>
            </w:r>
          </w:p>
        </w:tc>
      </w:tr>
      <w:tr>
        <w:tc>
          <w:tcPr>
            <w:tcW w:type="dxa" w:w="5040"/>
            <w:shd w:fill="F6F1E8"/>
          </w:tcPr>
          <w:p>
            <w:r>
              <w:rPr>
                <w:rFonts w:ascii="Arial" w:hAnsi="Arial"/>
                <w:b/>
                <w:color w:val="001D30"/>
                <w:sz w:val="17"/>
              </w:rPr>
              <w:t>Zugehöriges Portal</w:t>
            </w:r>
          </w:p>
        </w:tc>
        <w:tc>
          <w:tcPr>
            <w:tcW w:type="dxa" w:w="5040"/>
          </w:tcPr>
          <w:p>
            <w:r>
              <w:rPr>
                <w:rFonts w:ascii="Arial" w:hAnsi="Arial"/>
                <w:sz w:val="17"/>
              </w:rPr>
              <w:t>Wohnen &amp; Stadt</w:t>
            </w:r>
          </w:p>
        </w:tc>
      </w:tr>
      <w:tr>
        <w:tc>
          <w:tcPr>
            <w:tcW w:type="dxa" w:w="5040"/>
            <w:shd w:fill="F6F1E8"/>
          </w:tcPr>
          <w:p>
            <w:r>
              <w:rPr>
                <w:rFonts w:ascii="Arial" w:hAnsi="Arial"/>
                <w:b/>
                <w:color w:val="001D30"/>
                <w:sz w:val="17"/>
              </w:rPr>
              <w:t>Unterbereich</w:t>
            </w:r>
          </w:p>
        </w:tc>
        <w:tc>
          <w:tcPr>
            <w:tcW w:type="dxa" w:w="5040"/>
          </w:tcPr>
          <w:p>
            <w:r>
              <w:rPr>
                <w:rFonts w:ascii="Arial" w:hAnsi="Arial"/>
                <w:sz w:val="17"/>
              </w:rPr>
              <w:t>Investor:innen, Vermieter:innen, Eigentümer:innen, Spekulationsschutz</w:t>
            </w:r>
          </w:p>
        </w:tc>
      </w:tr>
      <w:tr>
        <w:tc>
          <w:tcPr>
            <w:tcW w:type="dxa" w:w="5040"/>
            <w:shd w:fill="F6F1E8"/>
          </w:tcPr>
          <w:p>
            <w:r>
              <w:rPr>
                <w:rFonts w:ascii="Arial" w:hAnsi="Arial"/>
                <w:b/>
                <w:color w:val="001D30"/>
                <w:sz w:val="17"/>
              </w:rPr>
              <w:t>Autorin</w:t>
            </w:r>
          </w:p>
        </w:tc>
        <w:tc>
          <w:tcPr>
            <w:tcW w:type="dxa" w:w="5040"/>
          </w:tcPr>
          <w:p>
            <w:r>
              <w:rPr>
                <w:rFonts w:ascii="Arial" w:hAnsi="Arial"/>
                <w:sz w:val="17"/>
              </w:rPr>
              <w:t>Natalie Weber · Wirkungsökonomie</w:t>
            </w:r>
          </w:p>
        </w:tc>
      </w:tr>
      <w:tr>
        <w:tc>
          <w:tcPr>
            <w:tcW w:type="dxa" w:w="5040"/>
            <w:shd w:fill="F6F1E8"/>
          </w:tcPr>
          <w:p>
            <w:r>
              <w:rPr>
                <w:rFonts w:ascii="Arial" w:hAnsi="Arial"/>
                <w:b/>
                <w:color w:val="001D30"/>
                <w:sz w:val="17"/>
              </w:rPr>
              <w:t>Öffentlichkeit</w:t>
            </w:r>
          </w:p>
        </w:tc>
        <w:tc>
          <w:tcPr>
            <w:tcW w:type="dxa" w:w="5040"/>
          </w:tcPr>
          <w:p>
            <w:r>
              <w:rPr>
                <w:rFonts w:ascii="Arial" w:hAnsi="Arial"/>
                <w:sz w:val="17"/>
              </w:rPr>
              <w:t>Für die öffentliche Website bereinigt</w:t>
            </w:r>
          </w:p>
        </w:tc>
      </w:tr>
      <w:tr>
        <w:tc>
          <w:tcPr>
            <w:tcW w:type="dxa" w:w="5040"/>
            <w:shd w:fill="F6F1E8"/>
          </w:tcPr>
          <w:p>
            <w:r>
              <w:rPr>
                <w:rFonts w:ascii="Arial" w:hAnsi="Arial"/>
                <w:b/>
                <w:color w:val="001D30"/>
                <w:sz w:val="17"/>
              </w:rPr>
              <w:t>Hinweis</w:t>
            </w:r>
          </w:p>
        </w:tc>
        <w:tc>
          <w:tcPr>
            <w:tcW w:type="dxa" w:w="5040"/>
          </w:tcPr>
          <w:p>
            <w:r>
              <w:rPr>
                <w:rFonts w:ascii="Arial" w:hAnsi="Arial"/>
                <w:sz w:val="17"/>
              </w:rPr>
              <w:t>Konzeptionelle Arbeitsfassung; keine Rechts-, Steuer-, Anlage- oder Finanzierungsberatung</w:t>
            </w:r>
          </w:p>
        </w:tc>
      </w:tr>
    </w:tbl>
    <w:p/>
    <w:p>
      <w:pPr>
        <w:pStyle w:val="Heading1"/>
      </w:pPr>
      <w:r>
        <w:t>Inhaltsübersicht</w:t>
      </w:r>
    </w:p>
    <w:p>
      <w:pPr>
        <w:spacing w:after="120" w:line="271" w:lineRule="auto"/>
      </w:pPr>
      <w:r>
        <w:rPr>
          <w:rFonts w:ascii="Arial" w:hAnsi="Arial"/>
          <w:b w:val="0"/>
          <w:color w:val="252A2E"/>
          <w:sz w:val="20"/>
        </w:rPr>
        <w:t>1. Executive Summary</w:t>
      </w:r>
    </w:p>
    <w:p>
      <w:pPr>
        <w:spacing w:after="120" w:line="271" w:lineRule="auto"/>
      </w:pPr>
      <w:r>
        <w:rPr>
          <w:rFonts w:ascii="Arial" w:hAnsi="Arial"/>
          <w:b w:val="0"/>
          <w:color w:val="252A2E"/>
          <w:sz w:val="20"/>
        </w:rPr>
        <w:t>2. Ausgangsdiagnose: Warum der alte Wohnungsmarkt falsch unterscheidet</w:t>
      </w:r>
    </w:p>
    <w:p>
      <w:pPr>
        <w:spacing w:after="120" w:line="271" w:lineRule="auto"/>
      </w:pPr>
      <w:r>
        <w:rPr>
          <w:rFonts w:ascii="Arial" w:hAnsi="Arial"/>
          <w:b w:val="0"/>
          <w:color w:val="252A2E"/>
          <w:sz w:val="20"/>
        </w:rPr>
        <w:t>3. Eigentum mit Wirkungspflicht</w:t>
      </w:r>
    </w:p>
    <w:p>
      <w:pPr>
        <w:spacing w:after="120" w:line="271" w:lineRule="auto"/>
      </w:pPr>
      <w:r>
        <w:rPr>
          <w:rFonts w:ascii="Arial" w:hAnsi="Arial"/>
          <w:b w:val="0"/>
          <w:color w:val="252A2E"/>
          <w:sz w:val="20"/>
        </w:rPr>
        <w:t>4. Akteursgruppen und differenzierte Anreizlogik</w:t>
      </w:r>
    </w:p>
    <w:p>
      <w:pPr>
        <w:spacing w:after="120" w:line="271" w:lineRule="auto"/>
      </w:pPr>
      <w:r>
        <w:rPr>
          <w:rFonts w:ascii="Arial" w:hAnsi="Arial"/>
          <w:b w:val="0"/>
          <w:color w:val="252A2E"/>
          <w:sz w:val="20"/>
        </w:rPr>
        <w:t>5. Gute Vermietung, schlechte Vermietungswirkung</w:t>
      </w:r>
    </w:p>
    <w:p>
      <w:pPr>
        <w:spacing w:after="120" w:line="271" w:lineRule="auto"/>
      </w:pPr>
      <w:r>
        <w:rPr>
          <w:rFonts w:ascii="Arial" w:hAnsi="Arial"/>
          <w:b w:val="0"/>
          <w:color w:val="252A2E"/>
          <w:sz w:val="20"/>
        </w:rPr>
        <w:t>6. Spekulation: Definition und Abgrenzung</w:t>
      </w:r>
    </w:p>
    <w:p>
      <w:pPr>
        <w:spacing w:after="120" w:line="271" w:lineRule="auto"/>
      </w:pPr>
      <w:r>
        <w:rPr>
          <w:rFonts w:ascii="Arial" w:hAnsi="Arial"/>
          <w:b w:val="0"/>
          <w:color w:val="252A2E"/>
          <w:sz w:val="20"/>
        </w:rPr>
        <w:t>7. Stranded Assets: alte Gebäude, neue Gebäude und Portfolios</w:t>
      </w:r>
    </w:p>
    <w:p>
      <w:pPr>
        <w:spacing w:after="120" w:line="271" w:lineRule="auto"/>
      </w:pPr>
      <w:r>
        <w:rPr>
          <w:rFonts w:ascii="Arial" w:hAnsi="Arial"/>
          <w:b w:val="0"/>
          <w:color w:val="252A2E"/>
          <w:sz w:val="20"/>
        </w:rPr>
        <w:t>8. Bestehende rechtliche Anschlussstellen heute</w:t>
      </w:r>
    </w:p>
    <w:p>
      <w:pPr>
        <w:spacing w:after="120" w:line="271" w:lineRule="auto"/>
      </w:pPr>
      <w:r>
        <w:rPr>
          <w:rFonts w:ascii="Arial" w:hAnsi="Arial"/>
          <w:b w:val="0"/>
          <w:color w:val="252A2E"/>
          <w:sz w:val="20"/>
        </w:rPr>
        <w:t>9. WIX-VI: Vermietung und Investment messbar machen</w:t>
      </w:r>
    </w:p>
    <w:p>
      <w:pPr>
        <w:spacing w:after="120" w:line="271" w:lineRule="auto"/>
      </w:pPr>
      <w:r>
        <w:rPr>
          <w:rFonts w:ascii="Arial" w:hAnsi="Arial"/>
          <w:b w:val="0"/>
          <w:color w:val="252A2E"/>
          <w:sz w:val="20"/>
        </w:rPr>
        <w:t>10. Anreize für gute Vermieter:innen und verantwortliche Investoren</w:t>
      </w:r>
    </w:p>
    <w:p>
      <w:pPr>
        <w:spacing w:after="120" w:line="271" w:lineRule="auto"/>
      </w:pPr>
      <w:r>
        <w:rPr>
          <w:rFonts w:ascii="Arial" w:hAnsi="Arial"/>
          <w:b w:val="0"/>
          <w:color w:val="252A2E"/>
          <w:sz w:val="20"/>
        </w:rPr>
        <w:t>11. Gegenanreize gegen Spekulationslogik</w:t>
      </w:r>
    </w:p>
    <w:p>
      <w:pPr>
        <w:spacing w:after="120" w:line="271" w:lineRule="auto"/>
      </w:pPr>
      <w:r>
        <w:rPr>
          <w:rFonts w:ascii="Arial" w:hAnsi="Arial"/>
          <w:b w:val="0"/>
          <w:color w:val="252A2E"/>
          <w:sz w:val="20"/>
        </w:rPr>
        <w:t>12. Warmmietenneutralität als Schlüssel</w:t>
      </w:r>
    </w:p>
    <w:p>
      <w:pPr>
        <w:spacing w:after="120" w:line="271" w:lineRule="auto"/>
      </w:pPr>
      <w:r>
        <w:rPr>
          <w:rFonts w:ascii="Arial" w:hAnsi="Arial"/>
          <w:b w:val="0"/>
          <w:color w:val="252A2E"/>
          <w:sz w:val="20"/>
        </w:rPr>
        <w:t>13. Finanzierung und Kapitalzugang</w:t>
      </w:r>
    </w:p>
    <w:p>
      <w:pPr>
        <w:spacing w:after="120" w:line="271" w:lineRule="auto"/>
      </w:pPr>
      <w:r>
        <w:rPr>
          <w:rFonts w:ascii="Arial" w:hAnsi="Arial"/>
          <w:b w:val="0"/>
          <w:color w:val="252A2E"/>
          <w:sz w:val="20"/>
        </w:rPr>
        <w:t>14. Politische Anschlussfähigkeit</w:t>
      </w:r>
    </w:p>
    <w:p>
      <w:pPr>
        <w:spacing w:after="120" w:line="271" w:lineRule="auto"/>
      </w:pPr>
      <w:r>
        <w:rPr>
          <w:rFonts w:ascii="Arial" w:hAnsi="Arial"/>
          <w:b w:val="0"/>
          <w:color w:val="252A2E"/>
          <w:sz w:val="20"/>
        </w:rPr>
        <w:t>15. Website- und Portalintegration</w:t>
      </w:r>
    </w:p>
    <w:p>
      <w:pPr>
        <w:spacing w:after="120" w:line="271" w:lineRule="auto"/>
      </w:pPr>
      <w:r>
        <w:rPr>
          <w:rFonts w:ascii="Arial" w:hAnsi="Arial"/>
          <w:b w:val="0"/>
          <w:color w:val="252A2E"/>
          <w:sz w:val="20"/>
        </w:rPr>
        <w:t>16. Fazit</w:t>
      </w:r>
    </w:p>
    <w:p>
      <w:r>
        <w:br w:type="page"/>
      </w:r>
    </w:p>
    <w:p>
      <w:pPr>
        <w:pStyle w:val="Heading1"/>
      </w:pPr>
      <w:r>
        <w:t>1. Executive Summary</w:t>
      </w:r>
    </w:p>
    <w:p>
      <w:pPr>
        <w:spacing w:after="120" w:line="271" w:lineRule="auto"/>
      </w:pPr>
      <w:r>
        <w:rPr>
          <w:rFonts w:ascii="Arial" w:hAnsi="Arial"/>
          <w:b w:val="0"/>
          <w:color w:val="252A2E"/>
          <w:sz w:val="20"/>
        </w:rPr>
        <w:t>Die bisherigen Wohnunterlagen haben die Vermieter:innen- und Investor:innenperspektive bereits angelegt, aber nicht als eigenes Detailkonzept ausgebaut. Diese Fassung schließt die Lücke: Sie beschreibt, wie Eigentum, Vermietung, Kapitalzugang und Portfoliosteuerung wirkungsökonomisch gelesen werden können.</w:t>
      </w:r>
    </w:p>
    <w:p>
      <w:pPr>
        <w:spacing w:after="120" w:line="271" w:lineRule="auto"/>
      </w:pPr>
      <w:r>
        <w:rPr>
          <w:rFonts w:ascii="Arial" w:hAnsi="Arial"/>
          <w:b w:val="0"/>
          <w:color w:val="252A2E"/>
          <w:sz w:val="20"/>
        </w:rPr>
        <w:t>Der zentrale Gedanke lautet: Nicht Vermietung ist das Problem, sondern Vermietung ohne Wirkungsrückkopplung. Nicht Kapital ist das Problem, sondern Kapital, das Wohnraum seiner Lebensfunktion entzieht. Investitionen in Wohnraum sind notwendig, aber sie müssen auf Bezahlbarkeit, Gesundheit, Energie, Quartier, Teilhabe und demokratische Stabilität zurückgebunden werden.</w:t>
      </w:r>
    </w:p>
    <w:p>
      <w:pPr>
        <w:spacing w:after="120" w:line="271" w:lineRule="auto"/>
      </w:pPr>
      <w:r>
        <w:rPr>
          <w:rFonts w:ascii="Arial" w:hAnsi="Arial"/>
          <w:b w:val="0"/>
          <w:color w:val="252A2E"/>
          <w:sz w:val="20"/>
        </w:rPr>
        <w:t>Dieses Konzept unterscheidet daher drei Ebenen: gute Vermietung als positive Wohnwirkung, neutrale Vermietung als tragfähige Standardversorgung und negative Vermietung als Spekulations-, Unterlassungs- oder Verdrängungslogik. Die Bewertung erfolgt nicht moralisch, sondern anhand nachvollziehbarer Zustandsveränderungen.</w:t>
      </w:r>
    </w:p>
    <w:p>
      <w:pPr>
        <w:pStyle w:val="Heading1"/>
      </w:pPr>
      <w:r>
        <w:t>2. Ausgangsdiagnose: Warum der alte Wohnungsmarkt falsch unterscheidet</w:t>
      </w:r>
    </w:p>
    <w:p>
      <w:pPr>
        <w:spacing w:after="120" w:line="271" w:lineRule="auto"/>
      </w:pPr>
      <w:r>
        <w:rPr>
          <w:rFonts w:ascii="Arial" w:hAnsi="Arial"/>
          <w:b w:val="0"/>
          <w:color w:val="252A2E"/>
          <w:sz w:val="20"/>
        </w:rPr>
        <w:t>Der heutige Wohnungsmarkt unterscheidet sehr genau zwischen Kaufpreis, Kaltmiete, Rendite, Lage, Zins, Bodenwert und Leerstandsquote. Er unterscheidet aber unzureichend, ob ein Gebäude Menschen stabilisiert oder überlastet, ob eine Sanierung Klima und Mieter:innen entlastet oder Verdrängung erzeugt, ob Eigentum Bestand pflegt oder Knappheit ausnutzt.</w:t>
      </w:r>
    </w:p>
    <w:p>
      <w:pPr>
        <w:spacing w:after="120" w:line="271" w:lineRule="auto"/>
      </w:pPr>
      <w:r>
        <w:rPr>
          <w:rFonts w:ascii="Arial" w:hAnsi="Arial"/>
          <w:b w:val="0"/>
          <w:color w:val="252A2E"/>
          <w:sz w:val="20"/>
        </w:rPr>
        <w:t>Diese Blindheit führt zu einem paradoxen Ergebnis: Ein:e Vermieter:in, der oder die ein Gebäude warmmietenneutral saniert, Nebenkosten senkt, Bestand erhält und Mieter:innen beteiligt, wird häufig nicht deutlich besser gestellt als ein Investor, der Wertsteigerung durch Entmietung, Luxusmodernisierung oder spekulatives Halten erzielt.</w:t>
      </w:r>
    </w:p>
    <w:p>
      <w:pPr>
        <w:spacing w:after="120" w:line="271" w:lineRule="auto"/>
      </w:pPr>
      <w:r>
        <w:rPr>
          <w:rFonts w:ascii="Arial" w:hAnsi="Arial"/>
          <w:b w:val="0"/>
          <w:color w:val="252A2E"/>
          <w:sz w:val="20"/>
        </w:rPr>
        <w:t>Die Wirkungsökonomie erkennt darin kein individuelles Moralproblem, sondern eine Maßstabs- und Anreizkrise. Der Markt sieht Zahlungsströme, nicht Wohnwirkung. Deshalb muss die Wirkung von Vermietungs- und Investmententscheidungen sichtbar gemacht und in Steuern, Förderung, Finanzierung und öffentliche Planung rückgekoppelt werden.</w:t>
      </w:r>
    </w:p>
    <w:p>
      <w:pPr>
        <w:pStyle w:val="Heading1"/>
      </w:pPr>
      <w:r>
        <w:t>3. Eigentum mit Wirkungspflicht</w:t>
      </w:r>
    </w:p>
    <w:p>
      <w:pPr>
        <w:spacing w:after="120" w:line="271" w:lineRule="auto"/>
      </w:pPr>
      <w:r>
        <w:rPr>
          <w:rFonts w:ascii="Arial" w:hAnsi="Arial"/>
          <w:b w:val="0"/>
          <w:color w:val="252A2E"/>
          <w:sz w:val="20"/>
        </w:rPr>
        <w:t>Eigentum ist eine Freiheitsform. Es ermöglicht Verfügbarkeit, Investition, Pflege, Gestaltung und Verantwortung. Die Wirkungsökonomie stellt Eigentum deshalb nicht grundsätzlich infrage. Sie fragt aber, welche Wirkung ein Eigentum entfaltet, wenn es ein Grundbedürfnis betrifft.</w:t>
      </w:r>
    </w:p>
    <w:p>
      <w:pPr>
        <w:spacing w:after="120" w:line="271" w:lineRule="auto"/>
      </w:pPr>
      <w:r>
        <w:rPr>
          <w:rFonts w:ascii="Arial" w:hAnsi="Arial"/>
          <w:b w:val="0"/>
          <w:color w:val="252A2E"/>
          <w:sz w:val="20"/>
        </w:rPr>
        <w:t>Wohnungseigentum wirkt anders als Eigentum an einem gewöhnlichen Konsumgut. Es entscheidet über Sicherheit, Gesundheit, Familienplanung, Bildungschancen, Pflegefähigkeit, Nachbarschaft, lokale Verwurzelung und demokratisches Vertrauen. Wer Wohnraum besitzt, besitzt nicht nur einen Vermögenswert, sondern einen gesellschaftlichen Wirkungsraum.</w:t>
      </w:r>
    </w:p>
    <w:p>
      <w:pPr>
        <w:spacing w:after="120" w:line="271" w:lineRule="auto"/>
      </w:pPr>
      <w:r>
        <w:rPr>
          <w:rFonts w:ascii="Arial" w:hAnsi="Arial"/>
          <w:b w:val="0"/>
          <w:color w:val="252A2E"/>
          <w:sz w:val="20"/>
        </w:rPr>
        <w:t>Daraus folgt eine Wirkungspflicht des Eigentums. Sie bedeutet nicht Enteignung, Totalregulierung oder Renditeverbot. Sie bedeutet, dass die Verwertung von Wohnraum an seine Funktion zurückgebunden werden muss. Kapital soll Wohnen ermöglichen, nicht Wohnen soll Kapitalverwertung bedienen.</w:t>
      </w:r>
    </w:p>
    <w:p>
      <w:pPr>
        <w:pStyle w:val="Heading1"/>
      </w:pPr>
      <w:r>
        <w:t>4. Akteursgruppen und differenzierte Anreizlogik</w:t>
      </w:r>
    </w:p>
    <w:p>
      <w:pPr>
        <w:spacing w:after="120" w:line="271" w:lineRule="auto"/>
      </w:pPr>
      <w:r>
        <w:rPr>
          <w:rFonts w:ascii="Arial" w:hAnsi="Arial"/>
          <w:b w:val="0"/>
          <w:color w:val="252A2E"/>
          <w:sz w:val="20"/>
        </w:rPr>
        <w:t>Die WÖk vermeidet pauschale Akteursbilder. Kleine private Vermieter:innen, Genossenschaften, kommunale Wohnungsunternehmen, institutionelle Investoren, Projektentwickler, Family Offices, Fonds und Wohnungskonzerne haben unterschiedliche Handlungsspielräume und Risiken.</w:t>
      </w:r>
    </w:p>
    <w:p>
      <w:pPr>
        <w:spacing w:after="120" w:line="271" w:lineRule="auto"/>
      </w:pPr>
      <w:r>
        <w:rPr>
          <w:rFonts w:ascii="Arial" w:hAnsi="Arial"/>
          <w:b w:val="0"/>
          <w:color w:val="252A2E"/>
          <w:sz w:val="20"/>
        </w:rPr>
        <w:t>Gerade kleine Vermieter:innen dürfen nicht durch komplexe Bürokratie überfordert werden. Viele halten Bestände langfristig, pflegen Gebäude und haben direkte Beziehungen zu Mieter:innen. Institutionelle Investoren wiederum können großes Kapital für Dekarbonisierung und Neubau mobilisieren, brauchen aber klare Wirkungsgrenzen, damit Skalierung nicht zur Verdrängungsmaschine wird.</w:t>
      </w:r>
    </w:p>
    <w:p>
      <w:pPr>
        <w:spacing w:after="120" w:line="271" w:lineRule="auto"/>
      </w:pPr>
      <w:r>
        <w:rPr>
          <w:rFonts w:ascii="Arial" w:hAnsi="Arial"/>
          <w:b w:val="0"/>
          <w:color w:val="252A2E"/>
          <w:sz w:val="20"/>
        </w:rPr>
        <w:t>Die WÖk trennt daher nicht nach Akteurstypen in „gut“ und „schlecht“. Sie bewertet konkrete Entscheidungen: Wird saniert oder unterlassen? Werden Nebenkosten gesenkt oder Mieten maximiert? Wird Leerstand vermieden oder strategisch genutzt? Werden Quartiere stabilisiert oder entmischt?</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shd w:fill="001D30"/>
          </w:tcPr>
          <w:p>
            <w:r>
              <w:rPr>
                <w:rFonts w:ascii="Arial" w:hAnsi="Arial"/>
                <w:b/>
                <w:color w:val="FFFFFF"/>
                <w:sz w:val="16"/>
              </w:rPr>
              <w:t>Akteursgruppe</w:t>
            </w:r>
          </w:p>
        </w:tc>
        <w:tc>
          <w:tcPr>
            <w:tcW w:type="dxa" w:w="2520"/>
            <w:shd w:fill="001D30"/>
          </w:tcPr>
          <w:p>
            <w:r>
              <w:rPr>
                <w:rFonts w:ascii="Arial" w:hAnsi="Arial"/>
                <w:b/>
                <w:color w:val="FFFFFF"/>
                <w:sz w:val="16"/>
              </w:rPr>
              <w:t>Positive Wirkungspotenziale</w:t>
            </w:r>
          </w:p>
        </w:tc>
        <w:tc>
          <w:tcPr>
            <w:tcW w:type="dxa" w:w="2520"/>
            <w:shd w:fill="001D30"/>
          </w:tcPr>
          <w:p>
            <w:r>
              <w:rPr>
                <w:rFonts w:ascii="Arial" w:hAnsi="Arial"/>
                <w:b/>
                <w:color w:val="FFFFFF"/>
                <w:sz w:val="16"/>
              </w:rPr>
              <w:t>Risiken</w:t>
            </w:r>
          </w:p>
        </w:tc>
        <w:tc>
          <w:tcPr>
            <w:tcW w:type="dxa" w:w="2520"/>
            <w:shd w:fill="001D30"/>
          </w:tcPr>
          <w:p>
            <w:r>
              <w:rPr>
                <w:rFonts w:ascii="Arial" w:hAnsi="Arial"/>
                <w:b/>
                <w:color w:val="FFFFFF"/>
                <w:sz w:val="16"/>
              </w:rPr>
              <w:t>WÖk-Anschluss</w:t>
            </w:r>
          </w:p>
        </w:tc>
      </w:tr>
      <w:tr>
        <w:tc>
          <w:tcPr>
            <w:tcW w:type="dxa" w:w="2520"/>
          </w:tcPr>
          <w:p>
            <w:r>
              <w:rPr>
                <w:rFonts w:ascii="Arial" w:hAnsi="Arial"/>
                <w:color w:val="252A2E"/>
                <w:sz w:val="16"/>
              </w:rPr>
              <w:t>Kleine private Vermieter:innen</w:t>
            </w:r>
          </w:p>
        </w:tc>
        <w:tc>
          <w:tcPr>
            <w:tcW w:type="dxa" w:w="2520"/>
          </w:tcPr>
          <w:p>
            <w:r>
              <w:rPr>
                <w:rFonts w:ascii="Arial" w:hAnsi="Arial"/>
                <w:color w:val="252A2E"/>
                <w:sz w:val="16"/>
              </w:rPr>
              <w:t>langfristige Bestandspflege, direkte Beziehung, lokale Verantwortung</w:t>
            </w:r>
          </w:p>
        </w:tc>
        <w:tc>
          <w:tcPr>
            <w:tcW w:type="dxa" w:w="2520"/>
          </w:tcPr>
          <w:p>
            <w:r>
              <w:rPr>
                <w:rFonts w:ascii="Arial" w:hAnsi="Arial"/>
                <w:color w:val="252A2E"/>
                <w:sz w:val="16"/>
              </w:rPr>
              <w:t>Kapitalmangel, Bürokratie, technische Überforderung</w:t>
            </w:r>
          </w:p>
        </w:tc>
        <w:tc>
          <w:tcPr>
            <w:tcW w:type="dxa" w:w="2520"/>
          </w:tcPr>
          <w:p>
            <w:r>
              <w:rPr>
                <w:rFonts w:ascii="Arial" w:hAnsi="Arial"/>
                <w:color w:val="252A2E"/>
                <w:sz w:val="16"/>
              </w:rPr>
              <w:t>vereinfachter WIX, Förderlotsen, Bonus bei Sanierung ohne Verdrängung</w:t>
            </w:r>
          </w:p>
        </w:tc>
      </w:tr>
      <w:tr>
        <w:tc>
          <w:tcPr>
            <w:tcW w:type="dxa" w:w="2520"/>
          </w:tcPr>
          <w:p>
            <w:r>
              <w:rPr>
                <w:rFonts w:ascii="Arial" w:hAnsi="Arial"/>
                <w:color w:val="252A2E"/>
                <w:sz w:val="16"/>
              </w:rPr>
              <w:t>Genossenschaften</w:t>
            </w:r>
          </w:p>
        </w:tc>
        <w:tc>
          <w:tcPr>
            <w:tcW w:type="dxa" w:w="2520"/>
          </w:tcPr>
          <w:p>
            <w:r>
              <w:rPr>
                <w:rFonts w:ascii="Arial" w:hAnsi="Arial"/>
                <w:color w:val="252A2E"/>
                <w:sz w:val="16"/>
              </w:rPr>
              <w:t>Dauerhaft bezahlbare Mieten, Teilhabe, Gemeinwohlbindung</w:t>
            </w:r>
          </w:p>
        </w:tc>
        <w:tc>
          <w:tcPr>
            <w:tcW w:type="dxa" w:w="2520"/>
          </w:tcPr>
          <w:p>
            <w:r>
              <w:rPr>
                <w:rFonts w:ascii="Arial" w:hAnsi="Arial"/>
                <w:color w:val="252A2E"/>
                <w:sz w:val="16"/>
              </w:rPr>
              <w:t>Investitionsstau, geringe Eigenkapitalbasis</w:t>
            </w:r>
          </w:p>
        </w:tc>
        <w:tc>
          <w:tcPr>
            <w:tcW w:type="dxa" w:w="2520"/>
          </w:tcPr>
          <w:p>
            <w:r>
              <w:rPr>
                <w:rFonts w:ascii="Arial" w:hAnsi="Arial"/>
                <w:color w:val="252A2E"/>
                <w:sz w:val="16"/>
              </w:rPr>
              <w:t>Wirkungsfonds, zinsverbilligte Kredite, kommunaler Vorrang</w:t>
            </w:r>
          </w:p>
        </w:tc>
      </w:tr>
      <w:tr>
        <w:tc>
          <w:tcPr>
            <w:tcW w:type="dxa" w:w="2520"/>
          </w:tcPr>
          <w:p>
            <w:r>
              <w:rPr>
                <w:rFonts w:ascii="Arial" w:hAnsi="Arial"/>
                <w:color w:val="252A2E"/>
                <w:sz w:val="16"/>
              </w:rPr>
              <w:t>Kommunale Unternehmen</w:t>
            </w:r>
          </w:p>
        </w:tc>
        <w:tc>
          <w:tcPr>
            <w:tcW w:type="dxa" w:w="2520"/>
          </w:tcPr>
          <w:p>
            <w:r>
              <w:rPr>
                <w:rFonts w:ascii="Arial" w:hAnsi="Arial"/>
                <w:color w:val="252A2E"/>
                <w:sz w:val="16"/>
              </w:rPr>
              <w:t>Daseinsvorsorge, Steuerbarkeit, Quartiersstabilität</w:t>
            </w:r>
          </w:p>
        </w:tc>
        <w:tc>
          <w:tcPr>
            <w:tcW w:type="dxa" w:w="2520"/>
          </w:tcPr>
          <w:p>
            <w:r>
              <w:rPr>
                <w:rFonts w:ascii="Arial" w:hAnsi="Arial"/>
                <w:color w:val="252A2E"/>
                <w:sz w:val="16"/>
              </w:rPr>
              <w:t>Haushaltsdruck, Zielkonflikte, politische Kurzfristigkeit</w:t>
            </w:r>
          </w:p>
        </w:tc>
        <w:tc>
          <w:tcPr>
            <w:tcW w:type="dxa" w:w="2520"/>
          </w:tcPr>
          <w:p>
            <w:r>
              <w:rPr>
                <w:rFonts w:ascii="Arial" w:hAnsi="Arial"/>
                <w:color w:val="252A2E"/>
                <w:sz w:val="16"/>
              </w:rPr>
              <w:t>Wohnwirkungshaushalt, klare MPD-Ziele, Revisionszyklen</w:t>
            </w:r>
          </w:p>
        </w:tc>
      </w:tr>
      <w:tr>
        <w:tc>
          <w:tcPr>
            <w:tcW w:type="dxa" w:w="2520"/>
          </w:tcPr>
          <w:p>
            <w:r>
              <w:rPr>
                <w:rFonts w:ascii="Arial" w:hAnsi="Arial"/>
                <w:color w:val="252A2E"/>
                <w:sz w:val="16"/>
              </w:rPr>
              <w:t>Institutionelle Investoren</w:t>
            </w:r>
          </w:p>
        </w:tc>
        <w:tc>
          <w:tcPr>
            <w:tcW w:type="dxa" w:w="2520"/>
          </w:tcPr>
          <w:p>
            <w:r>
              <w:rPr>
                <w:rFonts w:ascii="Arial" w:hAnsi="Arial"/>
                <w:color w:val="252A2E"/>
                <w:sz w:val="16"/>
              </w:rPr>
              <w:t>Kapital für Sanierung, Skalierung, Portfolio-Know-how</w:t>
            </w:r>
          </w:p>
        </w:tc>
        <w:tc>
          <w:tcPr>
            <w:tcW w:type="dxa" w:w="2520"/>
          </w:tcPr>
          <w:p>
            <w:r>
              <w:rPr>
                <w:rFonts w:ascii="Arial" w:hAnsi="Arial"/>
                <w:color w:val="252A2E"/>
                <w:sz w:val="16"/>
              </w:rPr>
              <w:t>Renditedruck, Exit-Strategien, Verdrängungsrisiko</w:t>
            </w:r>
          </w:p>
        </w:tc>
        <w:tc>
          <w:tcPr>
            <w:tcW w:type="dxa" w:w="2520"/>
          </w:tcPr>
          <w:p>
            <w:r>
              <w:rPr>
                <w:rFonts w:ascii="Arial" w:hAnsi="Arial"/>
                <w:color w:val="252A2E"/>
                <w:sz w:val="16"/>
              </w:rPr>
              <w:t>Portfolio-WIX, Stranding-Check, Malus bei spekulativer Wirkung</w:t>
            </w:r>
          </w:p>
        </w:tc>
      </w:tr>
      <w:tr>
        <w:tc>
          <w:tcPr>
            <w:tcW w:type="dxa" w:w="2520"/>
          </w:tcPr>
          <w:p>
            <w:r>
              <w:rPr>
                <w:rFonts w:ascii="Arial" w:hAnsi="Arial"/>
                <w:color w:val="252A2E"/>
                <w:sz w:val="16"/>
              </w:rPr>
              <w:t>Projektentwickler</w:t>
            </w:r>
          </w:p>
        </w:tc>
        <w:tc>
          <w:tcPr>
            <w:tcW w:type="dxa" w:w="2520"/>
          </w:tcPr>
          <w:p>
            <w:r>
              <w:rPr>
                <w:rFonts w:ascii="Arial" w:hAnsi="Arial"/>
                <w:color w:val="252A2E"/>
                <w:sz w:val="16"/>
              </w:rPr>
              <w:t>Neubau, Nachverdichtung, Materialinnovation</w:t>
            </w:r>
          </w:p>
        </w:tc>
        <w:tc>
          <w:tcPr>
            <w:tcW w:type="dxa" w:w="2520"/>
          </w:tcPr>
          <w:p>
            <w:r>
              <w:rPr>
                <w:rFonts w:ascii="Arial" w:hAnsi="Arial"/>
                <w:color w:val="252A2E"/>
                <w:sz w:val="16"/>
              </w:rPr>
              <w:t>teure Segmente, graue Emissionen, Bedarfslücke</w:t>
            </w:r>
          </w:p>
        </w:tc>
        <w:tc>
          <w:tcPr>
            <w:tcW w:type="dxa" w:w="2520"/>
          </w:tcPr>
          <w:p>
            <w:r>
              <w:rPr>
                <w:rFonts w:ascii="Arial" w:hAnsi="Arial"/>
                <w:color w:val="252A2E"/>
                <w:sz w:val="16"/>
              </w:rPr>
              <w:t>Lebenszyklus-WIX, Sozialquote, Quartierswirkung</w:t>
            </w:r>
          </w:p>
        </w:tc>
      </w:tr>
      <w:tr>
        <w:tc>
          <w:tcPr>
            <w:tcW w:type="dxa" w:w="2520"/>
          </w:tcPr>
          <w:p>
            <w:r>
              <w:rPr>
                <w:rFonts w:ascii="Arial" w:hAnsi="Arial"/>
                <w:color w:val="252A2E"/>
                <w:sz w:val="16"/>
              </w:rPr>
              <w:t>Boden- und Leerstandsakteure</w:t>
            </w:r>
          </w:p>
        </w:tc>
        <w:tc>
          <w:tcPr>
            <w:tcW w:type="dxa" w:w="2520"/>
          </w:tcPr>
          <w:p>
            <w:r>
              <w:rPr>
                <w:rFonts w:ascii="Arial" w:hAnsi="Arial"/>
                <w:color w:val="252A2E"/>
                <w:sz w:val="16"/>
              </w:rPr>
              <w:t>Aktivierbare Flächen und Bestände</w:t>
            </w:r>
          </w:p>
        </w:tc>
        <w:tc>
          <w:tcPr>
            <w:tcW w:type="dxa" w:w="2520"/>
          </w:tcPr>
          <w:p>
            <w:r>
              <w:rPr>
                <w:rFonts w:ascii="Arial" w:hAnsi="Arial"/>
                <w:color w:val="252A2E"/>
                <w:sz w:val="16"/>
              </w:rPr>
              <w:t>Hortung, Zweckentfremdung, künstliche Knappheit</w:t>
            </w:r>
          </w:p>
        </w:tc>
        <w:tc>
          <w:tcPr>
            <w:tcW w:type="dxa" w:w="2520"/>
          </w:tcPr>
          <w:p>
            <w:r>
              <w:rPr>
                <w:rFonts w:ascii="Arial" w:hAnsi="Arial"/>
                <w:color w:val="252A2E"/>
                <w:sz w:val="16"/>
              </w:rPr>
              <w:t>Grundsteuer C, Leerstands-Malus, Nutzungswirkung</w:t>
            </w:r>
          </w:p>
        </w:tc>
      </w:tr>
    </w:tbl>
    <w:p/>
    <w:p>
      <w:pPr>
        <w:pStyle w:val="Heading1"/>
      </w:pPr>
      <w:r>
        <w:t>5. Gute Vermietung, schlechte Vermietungswirkung</w:t>
      </w:r>
    </w:p>
    <w:p>
      <w:pPr>
        <w:spacing w:after="120" w:line="271" w:lineRule="auto"/>
      </w:pPr>
      <w:r>
        <w:rPr>
          <w:rFonts w:ascii="Arial" w:hAnsi="Arial"/>
          <w:b w:val="0"/>
          <w:color w:val="252A2E"/>
          <w:sz w:val="20"/>
        </w:rPr>
        <w:t>Gute Vermietung ist eine Form von Wirkleistung. Sie schafft stabile Wohnverhältnisse, senkt reale Wohnkosten, erhält Gebäude, schützt Gesundheit, ermöglicht Teilhabe und reduziert Zukunftsrisiken. Sie kann und soll wirtschaftlich tragfähig sein.</w:t>
      </w:r>
    </w:p>
    <w:p>
      <w:pPr>
        <w:spacing w:after="120" w:line="271" w:lineRule="auto"/>
      </w:pPr>
      <w:r>
        <w:rPr>
          <w:rFonts w:ascii="Arial" w:hAnsi="Arial"/>
          <w:b w:val="0"/>
          <w:color w:val="252A2E"/>
          <w:sz w:val="20"/>
        </w:rPr>
        <w:t>Schlechte Vermietungswirkung entsteht, wenn Rendite aus negativen Zustandsveränderungen erzielt wird: aus unterlassener Instandhaltung, hohen Nebenkosten, spekulativem Leerstand, intransparenten Umlagen, Verdrängung, Zweckentfremdung, Luxusmodernisierung ohne sozialen Schutz oder Vernachlässigung energetischer Zukunftsfähigkeit.</w:t>
      </w:r>
    </w:p>
    <w:p>
      <w:pPr>
        <w:spacing w:after="120" w:line="271" w:lineRule="auto"/>
      </w:pPr>
      <w:r>
        <w:rPr>
          <w:rFonts w:ascii="Arial" w:hAnsi="Arial"/>
          <w:b w:val="0"/>
          <w:color w:val="252A2E"/>
          <w:sz w:val="20"/>
        </w:rPr>
        <w:t>Diese Unterscheidung ist für die politische Anschlussfähigkeit entscheidend: Die WÖk braucht keine Vermieterfeindlichkeit. Sie braucht eine klare Differenzierung zwischen verantwortlicher Vermietung und spekulativer Wirkung.</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Feld</w:t>
            </w:r>
          </w:p>
        </w:tc>
        <w:tc>
          <w:tcPr>
            <w:tcW w:type="dxa" w:w="3360"/>
            <w:shd w:fill="001D30"/>
          </w:tcPr>
          <w:p>
            <w:r>
              <w:rPr>
                <w:rFonts w:ascii="Arial" w:hAnsi="Arial"/>
                <w:b/>
                <w:color w:val="FFFFFF"/>
                <w:sz w:val="16"/>
              </w:rPr>
              <w:t>Positive Vermietungswirkung</w:t>
            </w:r>
          </w:p>
        </w:tc>
        <w:tc>
          <w:tcPr>
            <w:tcW w:type="dxa" w:w="3360"/>
            <w:shd w:fill="001D30"/>
          </w:tcPr>
          <w:p>
            <w:r>
              <w:rPr>
                <w:rFonts w:ascii="Arial" w:hAnsi="Arial"/>
                <w:b/>
                <w:color w:val="FFFFFF"/>
                <w:sz w:val="16"/>
              </w:rPr>
              <w:t>Negative Vermietungswirkung</w:t>
            </w:r>
          </w:p>
        </w:tc>
      </w:tr>
      <w:tr>
        <w:tc>
          <w:tcPr>
            <w:tcW w:type="dxa" w:w="3360"/>
          </w:tcPr>
          <w:p>
            <w:r>
              <w:rPr>
                <w:rFonts w:ascii="Arial" w:hAnsi="Arial"/>
                <w:color w:val="252A2E"/>
                <w:sz w:val="16"/>
              </w:rPr>
              <w:t>Bezahlbarkeit</w:t>
            </w:r>
          </w:p>
        </w:tc>
        <w:tc>
          <w:tcPr>
            <w:tcW w:type="dxa" w:w="3360"/>
          </w:tcPr>
          <w:p>
            <w:r>
              <w:rPr>
                <w:rFonts w:ascii="Arial" w:hAnsi="Arial"/>
                <w:color w:val="252A2E"/>
                <w:sz w:val="16"/>
              </w:rPr>
              <w:t>Warmmietenlast stabil/sinkend, transparente Nebenkosten</w:t>
            </w:r>
          </w:p>
        </w:tc>
        <w:tc>
          <w:tcPr>
            <w:tcW w:type="dxa" w:w="3360"/>
          </w:tcPr>
          <w:p>
            <w:r>
              <w:rPr>
                <w:rFonts w:ascii="Arial" w:hAnsi="Arial"/>
                <w:color w:val="252A2E"/>
                <w:sz w:val="16"/>
              </w:rPr>
              <w:t>existenzielle Mietbelastung, Verdrängung, Nebenkostenblindheit</w:t>
            </w:r>
          </w:p>
        </w:tc>
      </w:tr>
      <w:tr>
        <w:tc>
          <w:tcPr>
            <w:tcW w:type="dxa" w:w="3360"/>
          </w:tcPr>
          <w:p>
            <w:r>
              <w:rPr>
                <w:rFonts w:ascii="Arial" w:hAnsi="Arial"/>
                <w:color w:val="252A2E"/>
                <w:sz w:val="16"/>
              </w:rPr>
              <w:t>Sanierung</w:t>
            </w:r>
          </w:p>
        </w:tc>
        <w:tc>
          <w:tcPr>
            <w:tcW w:type="dxa" w:w="3360"/>
          </w:tcPr>
          <w:p>
            <w:r>
              <w:rPr>
                <w:rFonts w:ascii="Arial" w:hAnsi="Arial"/>
                <w:color w:val="252A2E"/>
                <w:sz w:val="16"/>
              </w:rPr>
              <w:t>Energie, Gesundheit und Miete gemeinsam geplant</w:t>
            </w:r>
          </w:p>
        </w:tc>
        <w:tc>
          <w:tcPr>
            <w:tcW w:type="dxa" w:w="3360"/>
          </w:tcPr>
          <w:p>
            <w:r>
              <w:rPr>
                <w:rFonts w:ascii="Arial" w:hAnsi="Arial"/>
                <w:color w:val="252A2E"/>
                <w:sz w:val="16"/>
              </w:rPr>
              <w:t>Luxusmodernisierung oder Kaltmietensprung trotz Nebenkostensenkung</w:t>
            </w:r>
          </w:p>
        </w:tc>
      </w:tr>
      <w:tr>
        <w:tc>
          <w:tcPr>
            <w:tcW w:type="dxa" w:w="3360"/>
          </w:tcPr>
          <w:p>
            <w:r>
              <w:rPr>
                <w:rFonts w:ascii="Arial" w:hAnsi="Arial"/>
                <w:color w:val="252A2E"/>
                <w:sz w:val="16"/>
              </w:rPr>
              <w:t>Instandhaltung</w:t>
            </w:r>
          </w:p>
        </w:tc>
        <w:tc>
          <w:tcPr>
            <w:tcW w:type="dxa" w:w="3360"/>
          </w:tcPr>
          <w:p>
            <w:r>
              <w:rPr>
                <w:rFonts w:ascii="Arial" w:hAnsi="Arial"/>
                <w:color w:val="252A2E"/>
                <w:sz w:val="16"/>
              </w:rPr>
              <w:t>frühe Mängelbeseitigung, Schimmelschutz, sichere Anlagen</w:t>
            </w:r>
          </w:p>
        </w:tc>
        <w:tc>
          <w:tcPr>
            <w:tcW w:type="dxa" w:w="3360"/>
          </w:tcPr>
          <w:p>
            <w:r>
              <w:rPr>
                <w:rFonts w:ascii="Arial" w:hAnsi="Arial"/>
                <w:color w:val="252A2E"/>
                <w:sz w:val="16"/>
              </w:rPr>
              <w:t>Reparaturstau, Gesundheitsrisiken, Verwahrlosung</w:t>
            </w:r>
          </w:p>
        </w:tc>
      </w:tr>
      <w:tr>
        <w:tc>
          <w:tcPr>
            <w:tcW w:type="dxa" w:w="3360"/>
          </w:tcPr>
          <w:p>
            <w:r>
              <w:rPr>
                <w:rFonts w:ascii="Arial" w:hAnsi="Arial"/>
                <w:color w:val="252A2E"/>
                <w:sz w:val="16"/>
              </w:rPr>
              <w:t>Quartier</w:t>
            </w:r>
          </w:p>
        </w:tc>
        <w:tc>
          <w:tcPr>
            <w:tcW w:type="dxa" w:w="3360"/>
          </w:tcPr>
          <w:p>
            <w:r>
              <w:rPr>
                <w:rFonts w:ascii="Arial" w:hAnsi="Arial"/>
                <w:color w:val="252A2E"/>
                <w:sz w:val="16"/>
              </w:rPr>
              <w:t>soziale Mischung, Begegnung, Pflegefähigkeit, Infrastruktur</w:t>
            </w:r>
          </w:p>
        </w:tc>
        <w:tc>
          <w:tcPr>
            <w:tcW w:type="dxa" w:w="3360"/>
          </w:tcPr>
          <w:p>
            <w:r>
              <w:rPr>
                <w:rFonts w:ascii="Arial" w:hAnsi="Arial"/>
                <w:color w:val="252A2E"/>
                <w:sz w:val="16"/>
              </w:rPr>
              <w:t>Entmischung, Isolation, Entwurzelung</w:t>
            </w:r>
          </w:p>
        </w:tc>
      </w:tr>
      <w:tr>
        <w:tc>
          <w:tcPr>
            <w:tcW w:type="dxa" w:w="3360"/>
          </w:tcPr>
          <w:p>
            <w:r>
              <w:rPr>
                <w:rFonts w:ascii="Arial" w:hAnsi="Arial"/>
                <w:color w:val="252A2E"/>
                <w:sz w:val="16"/>
              </w:rPr>
              <w:t>Governance</w:t>
            </w:r>
          </w:p>
        </w:tc>
        <w:tc>
          <w:tcPr>
            <w:tcW w:type="dxa" w:w="3360"/>
          </w:tcPr>
          <w:p>
            <w:r>
              <w:rPr>
                <w:rFonts w:ascii="Arial" w:hAnsi="Arial"/>
                <w:color w:val="252A2E"/>
                <w:sz w:val="16"/>
              </w:rPr>
              <w:t>klare Eigentumsstruktur, Beteiligung, Kostenklarheit</w:t>
            </w:r>
          </w:p>
        </w:tc>
        <w:tc>
          <w:tcPr>
            <w:tcW w:type="dxa" w:w="3360"/>
          </w:tcPr>
          <w:p>
            <w:r>
              <w:rPr>
                <w:rFonts w:ascii="Arial" w:hAnsi="Arial"/>
                <w:color w:val="252A2E"/>
                <w:sz w:val="16"/>
              </w:rPr>
              <w:t>verschachtelte Gesellschaften, Intransparenz, aggressive Umlage</w:t>
            </w:r>
          </w:p>
        </w:tc>
      </w:tr>
      <w:tr>
        <w:tc>
          <w:tcPr>
            <w:tcW w:type="dxa" w:w="3360"/>
          </w:tcPr>
          <w:p>
            <w:r>
              <w:rPr>
                <w:rFonts w:ascii="Arial" w:hAnsi="Arial"/>
                <w:color w:val="252A2E"/>
                <w:sz w:val="16"/>
              </w:rPr>
              <w:t>Nutzung</w:t>
            </w:r>
          </w:p>
        </w:tc>
        <w:tc>
          <w:tcPr>
            <w:tcW w:type="dxa" w:w="3360"/>
          </w:tcPr>
          <w:p>
            <w:r>
              <w:rPr>
                <w:rFonts w:ascii="Arial" w:hAnsi="Arial"/>
                <w:color w:val="252A2E"/>
                <w:sz w:val="16"/>
              </w:rPr>
              <w:t>Wohnraum wird genutzt, saniert oder aktiviert</w:t>
            </w:r>
          </w:p>
        </w:tc>
        <w:tc>
          <w:tcPr>
            <w:tcW w:type="dxa" w:w="3360"/>
          </w:tcPr>
          <w:p>
            <w:r>
              <w:rPr>
                <w:rFonts w:ascii="Arial" w:hAnsi="Arial"/>
                <w:color w:val="252A2E"/>
                <w:sz w:val="16"/>
              </w:rPr>
              <w:t>Leerstand, Zweckentfremdung, Abriss ohne Ausgleich</w:t>
            </w:r>
          </w:p>
        </w:tc>
      </w:tr>
    </w:tbl>
    <w:p/>
    <w:p>
      <w:pPr>
        <w:pStyle w:val="Heading1"/>
      </w:pPr>
      <w:r>
        <w:t>6. Spekulation: Definition und Abgrenzung</w:t>
      </w:r>
    </w:p>
    <w:p>
      <w:pPr>
        <w:spacing w:after="120" w:line="271" w:lineRule="auto"/>
      </w:pPr>
      <w:r>
        <w:rPr>
          <w:rFonts w:ascii="Arial" w:hAnsi="Arial"/>
          <w:b w:val="0"/>
          <w:color w:val="252A2E"/>
          <w:sz w:val="20"/>
        </w:rPr>
        <w:t>Spekulation ist wirkungsökonomisch nicht jede Investition mit Wertsteigerung. Wertsteigerung kann Ausdruck positiver Wirkung sein, etwa wenn ein Gebäude saniert, emissionsärmer, gesünder, barriereärmer und langfristig nutzbarer wird.</w:t>
      </w:r>
    </w:p>
    <w:p>
      <w:pPr>
        <w:spacing w:after="120" w:line="271" w:lineRule="auto"/>
      </w:pPr>
      <w:r>
        <w:rPr>
          <w:rFonts w:ascii="Arial" w:hAnsi="Arial"/>
          <w:b w:val="0"/>
          <w:color w:val="252A2E"/>
          <w:sz w:val="20"/>
        </w:rPr>
        <w:t>Problematisch wird Spekulation, wenn Wertsteigerung aus Knappheit, Nichtnutzung oder sozialer Verdrängung entsteht. Dann wird Wohnraum nicht aufgrund seiner Nutzungswirkung wertvoller, sondern weil Zugang künstlich verengt, Bedürfnisse ausgenutzt oder Folgekosten externalisiert werden.</w:t>
      </w:r>
    </w:p>
    <w:p>
      <w:pPr>
        <w:spacing w:after="120" w:line="271" w:lineRule="auto"/>
      </w:pPr>
      <w:r>
        <w:rPr>
          <w:rFonts w:ascii="Arial" w:hAnsi="Arial"/>
          <w:b w:val="0"/>
          <w:color w:val="252A2E"/>
          <w:sz w:val="20"/>
        </w:rPr>
        <w:t>Die wichtigsten Muster sind Bodenhortung, spekulativer Leerstand, temporäre Zweckentfremdung, Abriss ohne angemessenen Ersatz, Luxussanierung mit Entmietungswirkung, Umwandlungsdruck, intransparente Eigentümerketten und Portfoliostrategien, die lokale Wohnmärkte destabilisieren.</w:t>
      </w:r>
    </w:p>
    <w:p>
      <w:pPr>
        <w:pStyle w:val="Heading1"/>
      </w:pPr>
      <w:r>
        <w:t>7. Stranded Assets: alte Gebäude, neue Gebäude und Portfolios</w:t>
      </w:r>
    </w:p>
    <w:p>
      <w:pPr>
        <w:spacing w:after="120" w:line="271" w:lineRule="auto"/>
      </w:pPr>
      <w:r>
        <w:rPr>
          <w:rFonts w:ascii="Arial" w:hAnsi="Arial"/>
          <w:b w:val="0"/>
          <w:color w:val="252A2E"/>
          <w:sz w:val="20"/>
        </w:rPr>
        <w:t>Ein Stranded Asset ist ein Vermögenswert, der vor Ende seiner wirtschaftlichen Lebensdauer an Wert, Nutzbarkeit oder Finanzierbarkeit verliert. Im Immobilienmarkt entsteht Stranding durch Klimarisiken, Regulierungsrisiken, Energiepreise, CO2-Kosten, Finanzierungskriterien, Marktpräferenzen, technische Überalterung und soziale Akzeptanzrisiken.</w:t>
      </w:r>
    </w:p>
    <w:p>
      <w:pPr>
        <w:spacing w:after="120" w:line="271" w:lineRule="auto"/>
      </w:pPr>
      <w:r>
        <w:rPr>
          <w:rFonts w:ascii="Arial" w:hAnsi="Arial"/>
          <w:b w:val="0"/>
          <w:color w:val="252A2E"/>
          <w:sz w:val="20"/>
        </w:rPr>
        <w:t>Für alte Gebäude liegt das Risiko oft in fossilen Heizungen, schlechter Gebäudehülle, hohen Betriebskosten, fehlendem Sanierungsfahrplan und schlechter Innenraumqualität. Für neue Gebäude liegt das Risiko in grauen Emissionen, schlechter Anpassung an Hitze, fehlender sozialer Nutzbarkeit, hoher Warmmiete, unflexiblen Grundrissen oder mangelnder Quartiersintegration.</w:t>
      </w:r>
    </w:p>
    <w:p>
      <w:pPr>
        <w:spacing w:after="120" w:line="271" w:lineRule="auto"/>
      </w:pPr>
      <w:r>
        <w:rPr>
          <w:rFonts w:ascii="Arial" w:hAnsi="Arial"/>
          <w:b w:val="0"/>
          <w:color w:val="252A2E"/>
          <w:sz w:val="20"/>
        </w:rPr>
        <w:t>Die Wirkungsökonomie erweitert den Begriff des Stranding: Ein Gebäude kann nicht nur ökologisch, sondern auch sozial und demokratisch stranden. Ein energetisch gutes, aber verdrängendes Luxusobjekt ist nicht zukunftsfähig, wenn es Teilhabe und Quartiersstabilität zerstört.</w:t>
      </w:r>
    </w:p>
    <w:p>
      <w:pPr>
        <w:pStyle w:val="Heading1"/>
      </w:pPr>
      <w:r>
        <w:t>8. Bestehende rechtliche Anschlussstellen heute</w:t>
      </w:r>
    </w:p>
    <w:p>
      <w:pPr>
        <w:spacing w:after="120" w:line="271" w:lineRule="auto"/>
      </w:pPr>
      <w:r>
        <w:rPr>
          <w:rFonts w:ascii="Arial" w:hAnsi="Arial"/>
          <w:b w:val="0"/>
          <w:color w:val="252A2E"/>
          <w:sz w:val="20"/>
        </w:rPr>
        <w:t>Das geltende Recht enthält bereits zahlreiche Ansatzpunkte. Das BGB verpflichtet Vermieter:innen zur Überlassung und Erhaltung einer geeigneten Mietsache. Energetische Modernisierung ist als Modernisierungstatbestand angelegt; Modernisierungsmieterhöhungen sind unter Bedingungen möglich und begrenzt. Damit existiert bereits eine Rechtslogik, die Instandhaltung, Modernisierung und Mieterinteressen austariert.</w:t>
      </w:r>
    </w:p>
    <w:p>
      <w:pPr>
        <w:spacing w:after="120" w:line="271" w:lineRule="auto"/>
      </w:pPr>
      <w:r>
        <w:rPr>
          <w:rFonts w:ascii="Arial" w:hAnsi="Arial"/>
          <w:b w:val="0"/>
          <w:color w:val="252A2E"/>
          <w:sz w:val="20"/>
        </w:rPr>
        <w:t>Das Gebäudeenergiegesetz ordnet Energieeffizienz, Energieausweise, Heizsysteme und erneuerbare Wärme. Das CO2-Kostenaufteilungsgesetz verknüpft die Kostenlast für fossile Heizenergie mit der Emissionsintensität des Gebäudes. Die europäische Gebäuderichtlinie EPBD setzt einen langfristigen Pfad zur Dekarbonisierung des Gebäudebestands, zu Energieausweisen, Renovierungspässen und Mindeststandards.</w:t>
      </w:r>
    </w:p>
    <w:p>
      <w:pPr>
        <w:spacing w:after="120" w:line="271" w:lineRule="auto"/>
      </w:pPr>
      <w:r>
        <w:rPr>
          <w:rFonts w:ascii="Arial" w:hAnsi="Arial"/>
          <w:b w:val="0"/>
          <w:color w:val="252A2E"/>
          <w:sz w:val="20"/>
        </w:rPr>
        <w:t>Kommunale Instrumente wie Zweckentfremdungsverbote, Milieuschutz, Bauleitplanung, Erhaltungssatzungen, Grundsteuer C und Förderprogramme zeigen, dass Wohnwirkung bereits politisch adressiert wird. Die Wirkungsökonomie verbindet diese Fragmente in eine gemeinsame Rückkopplungslogik.</w:t>
      </w:r>
    </w:p>
    <w:p>
      <w:pPr>
        <w:pStyle w:val="Heading1"/>
      </w:pPr>
      <w:r>
        <w:t>9. WIX-VI: Vermietung und Investment messbar machen</w:t>
      </w:r>
    </w:p>
    <w:p>
      <w:pPr>
        <w:spacing w:after="120" w:line="271" w:lineRule="auto"/>
      </w:pPr>
      <w:r>
        <w:rPr>
          <w:rFonts w:ascii="Arial" w:hAnsi="Arial"/>
          <w:b w:val="0"/>
          <w:color w:val="252A2E"/>
          <w:sz w:val="20"/>
        </w:rPr>
        <w:t>Der WIX-VI ist ein Untermodul des Wohnwirkungsindex. Er bewertet Vermietungs- und Investmententscheidungen auf Objekt-, Portfolio- oder Projektentwicklungsebene. Er bewertet keine Personen. Er dient als Entscheidungs- und Rückkopplungsinstrument.</w:t>
      </w:r>
    </w:p>
    <w:p>
      <w:pPr>
        <w:spacing w:after="120" w:line="271" w:lineRule="auto"/>
      </w:pPr>
      <w:r>
        <w:rPr>
          <w:rFonts w:ascii="Arial" w:hAnsi="Arial"/>
          <w:b w:val="0"/>
          <w:color w:val="252A2E"/>
          <w:sz w:val="20"/>
        </w:rPr>
        <w:t>Der WIX-VI bildet sieben Kernfelder ab: Klima und Energie, Bezahlbarkeit und Warmmiete, Gesundheit und Sicherheit, soziale Stabilität und Verdrängung, Quartier und Teilhabe, Governance und Transparenz sowie Spekulations- und Leerstandsrisiko.</w:t>
      </w:r>
    </w:p>
    <w:p>
      <w:pPr>
        <w:spacing w:after="120" w:line="271" w:lineRule="auto"/>
      </w:pPr>
      <w:r>
        <w:rPr>
          <w:rFonts w:ascii="Arial" w:hAnsi="Arial"/>
          <w:b w:val="0"/>
          <w:color w:val="252A2E"/>
          <w:sz w:val="20"/>
        </w:rPr>
        <w:t>Die Bewertung kann zunächst freiwillig und pilotiert erfolgen. Später kann sie in Förderung, Finanzierung, steuerliche Entlastung, öffentliche Beschaffung, kommunale Wohnwirkungshaushalte oder Portfolio-Risikobewertung einfließen.</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Kernfeld</w:t>
            </w:r>
          </w:p>
        </w:tc>
        <w:tc>
          <w:tcPr>
            <w:tcW w:type="dxa" w:w="3360"/>
            <w:shd w:fill="001D30"/>
          </w:tcPr>
          <w:p>
            <w:r>
              <w:rPr>
                <w:rFonts w:ascii="Arial" w:hAnsi="Arial"/>
                <w:b/>
                <w:color w:val="FFFFFF"/>
                <w:sz w:val="16"/>
              </w:rPr>
              <w:t>Beispielindikatoren</w:t>
            </w:r>
          </w:p>
        </w:tc>
        <w:tc>
          <w:tcPr>
            <w:tcW w:type="dxa" w:w="3360"/>
            <w:shd w:fill="001D30"/>
          </w:tcPr>
          <w:p>
            <w:r>
              <w:rPr>
                <w:rFonts w:ascii="Arial" w:hAnsi="Arial"/>
                <w:b/>
                <w:color w:val="FFFFFF"/>
                <w:sz w:val="16"/>
              </w:rPr>
              <w:t>Gewicht v0.1</w:t>
            </w:r>
          </w:p>
        </w:tc>
      </w:tr>
      <w:tr>
        <w:tc>
          <w:tcPr>
            <w:tcW w:type="dxa" w:w="3360"/>
          </w:tcPr>
          <w:p>
            <w:r>
              <w:rPr>
                <w:rFonts w:ascii="Arial" w:hAnsi="Arial"/>
                <w:color w:val="252A2E"/>
                <w:sz w:val="16"/>
              </w:rPr>
              <w:t>Klima &amp; Energie</w:t>
            </w:r>
          </w:p>
        </w:tc>
        <w:tc>
          <w:tcPr>
            <w:tcW w:type="dxa" w:w="3360"/>
          </w:tcPr>
          <w:p>
            <w:r>
              <w:rPr>
                <w:rFonts w:ascii="Arial" w:hAnsi="Arial"/>
                <w:color w:val="252A2E"/>
                <w:sz w:val="16"/>
              </w:rPr>
              <w:t>Endenergie, CO2/m², Heizung, erneuerbare Wärme, Sanierungspfad</w:t>
            </w:r>
          </w:p>
        </w:tc>
        <w:tc>
          <w:tcPr>
            <w:tcW w:type="dxa" w:w="3360"/>
          </w:tcPr>
          <w:p>
            <w:r>
              <w:rPr>
                <w:rFonts w:ascii="Arial" w:hAnsi="Arial"/>
                <w:color w:val="252A2E"/>
                <w:sz w:val="16"/>
              </w:rPr>
              <w:t>25 %</w:t>
            </w:r>
          </w:p>
        </w:tc>
      </w:tr>
      <w:tr>
        <w:tc>
          <w:tcPr>
            <w:tcW w:type="dxa" w:w="3360"/>
          </w:tcPr>
          <w:p>
            <w:r>
              <w:rPr>
                <w:rFonts w:ascii="Arial" w:hAnsi="Arial"/>
                <w:color w:val="252A2E"/>
                <w:sz w:val="16"/>
              </w:rPr>
              <w:t>Bezahlbarkeit &amp; Warmmiete</w:t>
            </w:r>
          </w:p>
        </w:tc>
        <w:tc>
          <w:tcPr>
            <w:tcW w:type="dxa" w:w="3360"/>
          </w:tcPr>
          <w:p>
            <w:r>
              <w:rPr>
                <w:rFonts w:ascii="Arial" w:hAnsi="Arial"/>
                <w:color w:val="252A2E"/>
                <w:sz w:val="16"/>
              </w:rPr>
              <w:t>Warmmietenbelastung, Nebenkosten, Mietentwicklung</w:t>
            </w:r>
          </w:p>
        </w:tc>
        <w:tc>
          <w:tcPr>
            <w:tcW w:type="dxa" w:w="3360"/>
          </w:tcPr>
          <w:p>
            <w:r>
              <w:rPr>
                <w:rFonts w:ascii="Arial" w:hAnsi="Arial"/>
                <w:color w:val="252A2E"/>
                <w:sz w:val="16"/>
              </w:rPr>
              <w:t>25 %</w:t>
            </w:r>
          </w:p>
        </w:tc>
      </w:tr>
      <w:tr>
        <w:tc>
          <w:tcPr>
            <w:tcW w:type="dxa" w:w="3360"/>
          </w:tcPr>
          <w:p>
            <w:r>
              <w:rPr>
                <w:rFonts w:ascii="Arial" w:hAnsi="Arial"/>
                <w:color w:val="252A2E"/>
                <w:sz w:val="16"/>
              </w:rPr>
              <w:t>Gesundheit &amp; Sicherheit</w:t>
            </w:r>
          </w:p>
        </w:tc>
        <w:tc>
          <w:tcPr>
            <w:tcW w:type="dxa" w:w="3360"/>
          </w:tcPr>
          <w:p>
            <w:r>
              <w:rPr>
                <w:rFonts w:ascii="Arial" w:hAnsi="Arial"/>
                <w:color w:val="252A2E"/>
                <w:sz w:val="16"/>
              </w:rPr>
              <w:t>Innenraumluft, Schimmel, Hitze, Lärm, Brandschutz</w:t>
            </w:r>
          </w:p>
        </w:tc>
        <w:tc>
          <w:tcPr>
            <w:tcW w:type="dxa" w:w="3360"/>
          </w:tcPr>
          <w:p>
            <w:r>
              <w:rPr>
                <w:rFonts w:ascii="Arial" w:hAnsi="Arial"/>
                <w:color w:val="252A2E"/>
                <w:sz w:val="16"/>
              </w:rPr>
              <w:t>12 %</w:t>
            </w:r>
          </w:p>
        </w:tc>
      </w:tr>
      <w:tr>
        <w:tc>
          <w:tcPr>
            <w:tcW w:type="dxa" w:w="3360"/>
          </w:tcPr>
          <w:p>
            <w:r>
              <w:rPr>
                <w:rFonts w:ascii="Arial" w:hAnsi="Arial"/>
                <w:color w:val="252A2E"/>
                <w:sz w:val="16"/>
              </w:rPr>
              <w:t>Soziale Stabilität &amp; Verdrängung</w:t>
            </w:r>
          </w:p>
        </w:tc>
        <w:tc>
          <w:tcPr>
            <w:tcW w:type="dxa" w:w="3360"/>
          </w:tcPr>
          <w:p>
            <w:r>
              <w:rPr>
                <w:rFonts w:ascii="Arial" w:hAnsi="Arial"/>
                <w:color w:val="252A2E"/>
                <w:sz w:val="16"/>
              </w:rPr>
              <w:t>Mieterwechsel, Härtefälle, Entmietungsrisiko</w:t>
            </w:r>
          </w:p>
        </w:tc>
        <w:tc>
          <w:tcPr>
            <w:tcW w:type="dxa" w:w="3360"/>
          </w:tcPr>
          <w:p>
            <w:r>
              <w:rPr>
                <w:rFonts w:ascii="Arial" w:hAnsi="Arial"/>
                <w:color w:val="252A2E"/>
                <w:sz w:val="16"/>
              </w:rPr>
              <w:t>15 %</w:t>
            </w:r>
          </w:p>
        </w:tc>
      </w:tr>
      <w:tr>
        <w:tc>
          <w:tcPr>
            <w:tcW w:type="dxa" w:w="3360"/>
          </w:tcPr>
          <w:p>
            <w:r>
              <w:rPr>
                <w:rFonts w:ascii="Arial" w:hAnsi="Arial"/>
                <w:color w:val="252A2E"/>
                <w:sz w:val="16"/>
              </w:rPr>
              <w:t>Quartier &amp; Teilhabe</w:t>
            </w:r>
          </w:p>
        </w:tc>
        <w:tc>
          <w:tcPr>
            <w:tcW w:type="dxa" w:w="3360"/>
          </w:tcPr>
          <w:p>
            <w:r>
              <w:rPr>
                <w:rFonts w:ascii="Arial" w:hAnsi="Arial"/>
                <w:color w:val="252A2E"/>
                <w:sz w:val="16"/>
              </w:rPr>
              <w:t>Barrierefreiheit, Grün, Mobilität, Versorgung, Begegnung</w:t>
            </w:r>
          </w:p>
        </w:tc>
        <w:tc>
          <w:tcPr>
            <w:tcW w:type="dxa" w:w="3360"/>
          </w:tcPr>
          <w:p>
            <w:r>
              <w:rPr>
                <w:rFonts w:ascii="Arial" w:hAnsi="Arial"/>
                <w:color w:val="252A2E"/>
                <w:sz w:val="16"/>
              </w:rPr>
              <w:t>10 %</w:t>
            </w:r>
          </w:p>
        </w:tc>
      </w:tr>
      <w:tr>
        <w:tc>
          <w:tcPr>
            <w:tcW w:type="dxa" w:w="3360"/>
          </w:tcPr>
          <w:p>
            <w:r>
              <w:rPr>
                <w:rFonts w:ascii="Arial" w:hAnsi="Arial"/>
                <w:color w:val="252A2E"/>
                <w:sz w:val="16"/>
              </w:rPr>
              <w:t>Governance &amp; Transparenz</w:t>
            </w:r>
          </w:p>
        </w:tc>
        <w:tc>
          <w:tcPr>
            <w:tcW w:type="dxa" w:w="3360"/>
          </w:tcPr>
          <w:p>
            <w:r>
              <w:rPr>
                <w:rFonts w:ascii="Arial" w:hAnsi="Arial"/>
                <w:color w:val="252A2E"/>
                <w:sz w:val="16"/>
              </w:rPr>
              <w:t>Eigentümerstruktur, Kostenklarheit, Beteiligung, Datenqualität</w:t>
            </w:r>
          </w:p>
        </w:tc>
        <w:tc>
          <w:tcPr>
            <w:tcW w:type="dxa" w:w="3360"/>
          </w:tcPr>
          <w:p>
            <w:r>
              <w:rPr>
                <w:rFonts w:ascii="Arial" w:hAnsi="Arial"/>
                <w:color w:val="252A2E"/>
                <w:sz w:val="16"/>
              </w:rPr>
              <w:t>8 %</w:t>
            </w:r>
          </w:p>
        </w:tc>
      </w:tr>
      <w:tr>
        <w:tc>
          <w:tcPr>
            <w:tcW w:type="dxa" w:w="3360"/>
          </w:tcPr>
          <w:p>
            <w:r>
              <w:rPr>
                <w:rFonts w:ascii="Arial" w:hAnsi="Arial"/>
                <w:color w:val="252A2E"/>
                <w:sz w:val="16"/>
              </w:rPr>
              <w:t>Spekulation &amp; Leerstand</w:t>
            </w:r>
          </w:p>
        </w:tc>
        <w:tc>
          <w:tcPr>
            <w:tcW w:type="dxa" w:w="3360"/>
          </w:tcPr>
          <w:p>
            <w:r>
              <w:rPr>
                <w:rFonts w:ascii="Arial" w:hAnsi="Arial"/>
                <w:color w:val="252A2E"/>
                <w:sz w:val="16"/>
              </w:rPr>
              <w:t>Leerstand, Zweckentfremdung, Bodenhortung, Umwandlung</w:t>
            </w:r>
          </w:p>
        </w:tc>
        <w:tc>
          <w:tcPr>
            <w:tcW w:type="dxa" w:w="3360"/>
          </w:tcPr>
          <w:p>
            <w:r>
              <w:rPr>
                <w:rFonts w:ascii="Arial" w:hAnsi="Arial"/>
                <w:color w:val="252A2E"/>
                <w:sz w:val="16"/>
              </w:rPr>
              <w:t>5 %</w:t>
            </w:r>
          </w:p>
        </w:tc>
      </w:tr>
    </w:tbl>
    <w:p/>
    <w:p>
      <w:pPr>
        <w:pStyle w:val="Heading1"/>
      </w:pPr>
      <w:r>
        <w:t>10. Anreize für gute Vermieter:innen und verantwortliche Investoren</w:t>
      </w:r>
    </w:p>
    <w:p>
      <w:pPr>
        <w:spacing w:after="120" w:line="271" w:lineRule="auto"/>
      </w:pPr>
      <w:r>
        <w:rPr>
          <w:rFonts w:ascii="Arial" w:hAnsi="Arial"/>
          <w:b w:val="0"/>
          <w:color w:val="252A2E"/>
          <w:sz w:val="20"/>
        </w:rPr>
        <w:t>Die wirksamste Wohnpolitik belohnt gute Wirkung und verhindert negative Wirkung. Sie arbeitet nicht nur mit Verboten, sondern mit intelligenten Rückkopplungen.</w:t>
      </w:r>
    </w:p>
    <w:p>
      <w:pPr>
        <w:spacing w:after="120" w:line="271" w:lineRule="auto"/>
      </w:pPr>
      <w:r>
        <w:rPr>
          <w:rFonts w:ascii="Arial" w:hAnsi="Arial"/>
          <w:b w:val="0"/>
          <w:color w:val="252A2E"/>
          <w:sz w:val="20"/>
        </w:rPr>
        <w:t>Mögliche Anreize sind zinsverbilligte Kredite, steuerliche Entlastung, Bonus bei warmmietenneutraler Sanierung, bessere Förderfähigkeit, vereinfachte Verfahren, positive öffentliche Kennzeichnung, bessere Kapitalzugänge, geringere Risikozuschläge und Portfolio-Boni bei stabiler sozial-ökologischer Wirkung.</w:t>
      </w:r>
    </w:p>
    <w:p>
      <w:pPr>
        <w:spacing w:after="120" w:line="271" w:lineRule="auto"/>
      </w:pPr>
      <w:r>
        <w:rPr>
          <w:rFonts w:ascii="Arial" w:hAnsi="Arial"/>
          <w:b w:val="0"/>
          <w:color w:val="252A2E"/>
          <w:sz w:val="20"/>
        </w:rPr>
        <w:t>Für institutionelle Investoren wird Wohnwirkung damit kapitalmarktrelevant. Ein Portfolio mit hohem WIX, geringem Stranding-Risiko, stabiler Mieterschaft und Dekarbonisierungspfad ist langfristig weniger riskant als ein Portfolio mit hoher kurzfristiger Kaltmietenrendite, aber hohem Energie-, Regulierungs- und Verdrängungsrisiko.</w:t>
      </w:r>
    </w:p>
    <w:p>
      <w:pPr>
        <w:pStyle w:val="Heading1"/>
      </w:pPr>
      <w:r>
        <w:t>11. Gegenanreize gegen Spekulationslogik</w:t>
      </w:r>
    </w:p>
    <w:p>
      <w:pPr>
        <w:spacing w:after="120" w:line="271" w:lineRule="auto"/>
      </w:pPr>
      <w:r>
        <w:rPr>
          <w:rFonts w:ascii="Arial" w:hAnsi="Arial"/>
          <w:b w:val="0"/>
          <w:color w:val="252A2E"/>
          <w:sz w:val="20"/>
        </w:rPr>
        <w:t>Negative Wirkung wird in der WÖk nicht zuerst moralisch, sondern ökonomisch rückgekoppelt. Ein Objekt, das leersteht, hohe Nebenkosten verursacht, verdrängt oder Instandhaltung verschleppt, erzeugt negative Wirkung und muss diese in Kosten, Risikoprofil oder Förderausschluss abbilden.</w:t>
      </w:r>
    </w:p>
    <w:p>
      <w:pPr>
        <w:spacing w:after="120" w:line="271" w:lineRule="auto"/>
      </w:pPr>
      <w:r>
        <w:rPr>
          <w:rFonts w:ascii="Arial" w:hAnsi="Arial"/>
          <w:b w:val="0"/>
          <w:color w:val="252A2E"/>
          <w:sz w:val="20"/>
        </w:rPr>
        <w:t>Mögliche Instrumente sind Leerstandsmalus, Zweckentfremdungsaufschlag, geringere Förderfähigkeit, schlechtere Portfolio-Wirkungsklasse, Transparenzpflichten für wirtschaftlich Berechtigte, stärkere CO2-Kostenbeteiligung, Grundsteuer-C-Anschluss für Bodenhortung und kommunale Wohnwirkungsberichte.</w:t>
      </w:r>
    </w:p>
    <w:p>
      <w:pPr>
        <w:spacing w:after="120" w:line="271" w:lineRule="auto"/>
      </w:pPr>
      <w:r>
        <w:rPr>
          <w:rFonts w:ascii="Arial" w:hAnsi="Arial"/>
          <w:b w:val="0"/>
          <w:color w:val="252A2E"/>
          <w:sz w:val="20"/>
        </w:rPr>
        <w:t>Gleichzeitig braucht es Ausnahmen und Schutz: Sanierungsleerstand, Erbauseinandersetzungen, baurechtliche Verzögerungen, Denkmalschutz, technische Unbewohnbarkeit oder Kleinvermieter:innen-Überforderung dürfen nicht pauschal als Spekulation behandelt werden.</w:t>
      </w:r>
    </w:p>
    <w:p>
      <w:pPr>
        <w:pStyle w:val="Heading1"/>
      </w:pPr>
      <w:r>
        <w:t>12. Warmmietenneutralität als Schlüssel</w:t>
      </w:r>
    </w:p>
    <w:p>
      <w:pPr>
        <w:spacing w:after="120" w:line="271" w:lineRule="auto"/>
      </w:pPr>
      <w:r>
        <w:rPr>
          <w:rFonts w:ascii="Arial" w:hAnsi="Arial"/>
          <w:b w:val="0"/>
          <w:color w:val="252A2E"/>
          <w:sz w:val="20"/>
        </w:rPr>
        <w:t>Viele energetische Sanierungen scheitern politisch und sozial nicht an der Technik, sondern am Verteilungskonflikt. Wenn die Kaltmiete steigt und die Nebenkosten nicht ausreichend sinken, wird ökologische Sanierung für Mieter:innen zur Belastung.</w:t>
      </w:r>
    </w:p>
    <w:p>
      <w:pPr>
        <w:spacing w:after="120" w:line="271" w:lineRule="auto"/>
      </w:pPr>
      <w:r>
        <w:rPr>
          <w:rFonts w:ascii="Arial" w:hAnsi="Arial"/>
          <w:b w:val="0"/>
          <w:color w:val="252A2E"/>
          <w:sz w:val="20"/>
        </w:rPr>
        <w:t>Die WÖk betrachtet daher nicht nur Kaltmiete und nicht nur Energie. Entscheidend ist die reale Wohnkostenbelastung. Eine Sanierung wirkt positiv, wenn sie Emissionen, Nebenkosten, Gesundheitsrisiken und Stranding-Risiken senkt, ohne Haushalte zu verdrängen.</w:t>
      </w:r>
    </w:p>
    <w:p>
      <w:pPr>
        <w:spacing w:after="120" w:line="271" w:lineRule="auto"/>
      </w:pPr>
      <w:r>
        <w:rPr>
          <w:rFonts w:ascii="Arial" w:hAnsi="Arial"/>
          <w:b w:val="0"/>
          <w:color w:val="252A2E"/>
          <w:sz w:val="20"/>
        </w:rPr>
        <w:t>Warmmietenneutralität kann als Wirkungsziel definiert werden: Die Summe aus Kaltmiete, Nebenkosten und ggf. lokalen Energie- oder Mieterstromvorteilen soll nach der Maßnahme nicht höher liegen als vorher oder nur in einem sozial abgefederten Korridor steigen.</w:t>
      </w:r>
    </w:p>
    <w:p>
      <w:pPr>
        <w:pStyle w:val="Heading1"/>
      </w:pPr>
      <w:r>
        <w:t>13. Finanzierung und Kapitalzugang</w:t>
      </w:r>
    </w:p>
    <w:p>
      <w:pPr>
        <w:spacing w:after="120" w:line="271" w:lineRule="auto"/>
      </w:pPr>
      <w:r>
        <w:rPr>
          <w:rFonts w:ascii="Arial" w:hAnsi="Arial"/>
          <w:b w:val="0"/>
          <w:color w:val="252A2E"/>
          <w:sz w:val="20"/>
        </w:rPr>
        <w:t>Wirkungsorientiertes Wohnen braucht Kapital. Die Frage ist nicht, ob Kapital in den Wohnungsmarkt fließen darf, sondern nach welchen Signalen es fließt.</w:t>
      </w:r>
    </w:p>
    <w:p>
      <w:pPr>
        <w:spacing w:after="120" w:line="271" w:lineRule="auto"/>
      </w:pPr>
      <w:r>
        <w:rPr>
          <w:rFonts w:ascii="Arial" w:hAnsi="Arial"/>
          <w:b w:val="0"/>
          <w:color w:val="252A2E"/>
          <w:sz w:val="20"/>
        </w:rPr>
        <w:t>Banken, Förderbanken, Versicherer, Fonds und private Investor:innen können Wohnwirkung als Risiko- und Chancenindikator nutzen. Ein gutes WIX-Profil kann günstigere Konditionen begründen; ein hohes Stranding-Risiko kann Risikozuschläge, höhere Eigenkapitalanforderungen oder Transformationsauflagen auslösen.</w:t>
      </w:r>
    </w:p>
    <w:p>
      <w:pPr>
        <w:spacing w:after="120" w:line="271" w:lineRule="auto"/>
      </w:pPr>
      <w:r>
        <w:rPr>
          <w:rFonts w:ascii="Arial" w:hAnsi="Arial"/>
          <w:b w:val="0"/>
          <w:color w:val="252A2E"/>
          <w:sz w:val="20"/>
        </w:rPr>
        <w:t>Damit wird Kapital nicht ausgeschlossen, sondern in die richtige Richtung gelenkt. Positive Wohnwirkung wird finanzierbar; spekulative Knappheitsrendite verliert ihren Vorteil.</w:t>
      </w:r>
    </w:p>
    <w:p>
      <w:pPr>
        <w:pStyle w:val="Heading1"/>
      </w:pPr>
      <w:r>
        <w:t>14. Politische Anschlussfähigkeit</w:t>
      </w:r>
    </w:p>
    <w:p>
      <w:pPr>
        <w:spacing w:after="120" w:line="271" w:lineRule="auto"/>
      </w:pPr>
      <w:r>
        <w:rPr>
          <w:rFonts w:ascii="Arial" w:hAnsi="Arial"/>
          <w:b w:val="0"/>
          <w:color w:val="252A2E"/>
          <w:sz w:val="20"/>
        </w:rPr>
        <w:t>Der WÖk-Rahmen soll keine Partei ersetzen und kein Einheitsmodell vorschreiben. Er schafft eine gemeinsame Wirkungsstruktur, innerhalb der unterschiedliche politische Ausgestaltungen möglich bleiben.</w:t>
      </w:r>
    </w:p>
    <w:p>
      <w:pPr>
        <w:spacing w:after="120" w:line="271" w:lineRule="auto"/>
      </w:pPr>
      <w:r>
        <w:rPr>
          <w:rFonts w:ascii="Arial" w:hAnsi="Arial"/>
          <w:b w:val="0"/>
          <w:color w:val="252A2E"/>
          <w:sz w:val="20"/>
        </w:rPr>
        <w:t>Eine konservative Ausgestaltung kann Eigentumssicherheit, Bestandspflege, Rechtssicherheit und Verantwortung betonen. Eine liberale Ausgestaltung kann Transparenz, Wettbewerb, weniger Fehlsubventionen und bessere Marktsignale betonen. Eine sozialdemokratische Ausgestaltung kann Bezahlbarkeit, Warmmietenneutralität und soziale Stabilität priorisieren. Eine grüne Ausgestaltung kann Klima, Sanierung, Ressourcenschutz und Quartiersresilienz stärken. Eine linke Ausgestaltung kann Gemeinwohlbindung, Bodenpolitik und Schutz vor Finanzialisierung in den Vordergrund stellen.</w:t>
      </w:r>
    </w:p>
    <w:p>
      <w:pPr>
        <w:spacing w:after="120" w:line="271" w:lineRule="auto"/>
      </w:pPr>
      <w:r>
        <w:rPr>
          <w:rFonts w:ascii="Arial" w:hAnsi="Arial"/>
          <w:b w:val="0"/>
          <w:color w:val="252A2E"/>
          <w:sz w:val="20"/>
        </w:rPr>
        <w:t>Die Wirkungsökonomie hält den demokratischen Diskurs offen. Sie macht nur sichtbar, welche Wirkungen unterschiedliche Wege haben.</w:t>
      </w:r>
    </w:p>
    <w:tbl>
      <w:tblPr>
        <w:tblStyle w:val="TableGrid"/>
        <w:tblW w:type="auto" w:w="0"/>
        <w:jc w:val="center"/>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Ebene</w:t>
            </w:r>
          </w:p>
        </w:tc>
        <w:tc>
          <w:tcPr>
            <w:tcW w:type="dxa" w:w="5040"/>
            <w:shd w:fill="001D30"/>
          </w:tcPr>
          <w:p>
            <w:r>
              <w:rPr>
                <w:rFonts w:ascii="Arial" w:hAnsi="Arial"/>
                <w:b/>
                <w:color w:val="FFFFFF"/>
                <w:sz w:val="16"/>
              </w:rPr>
              <w:t>Aufgabe / Ausgestaltung</w:t>
            </w:r>
          </w:p>
        </w:tc>
      </w:tr>
      <w:tr>
        <w:tc>
          <w:tcPr>
            <w:tcW w:type="dxa" w:w="5040"/>
          </w:tcPr>
          <w:p>
            <w:r>
              <w:rPr>
                <w:rFonts w:ascii="Arial" w:hAnsi="Arial"/>
                <w:color w:val="252A2E"/>
                <w:sz w:val="16"/>
              </w:rPr>
              <w:t>Aufgabe der Politik</w:t>
            </w:r>
          </w:p>
        </w:tc>
        <w:tc>
          <w:tcPr>
            <w:tcW w:type="dxa" w:w="5040"/>
          </w:tcPr>
          <w:p>
            <w:r>
              <w:rPr>
                <w:rFonts w:ascii="Arial" w:hAnsi="Arial"/>
                <w:color w:val="252A2E"/>
                <w:sz w:val="16"/>
              </w:rPr>
              <w:t>Eigentum, Vermietung und Kapitalzugang so rahmen, dass Wohnwirkung statt Knappheitsrendite entsteht.</w:t>
            </w:r>
          </w:p>
        </w:tc>
      </w:tr>
      <w:tr>
        <w:tc>
          <w:tcPr>
            <w:tcW w:type="dxa" w:w="5040"/>
          </w:tcPr>
          <w:p>
            <w:r>
              <w:rPr>
                <w:rFonts w:ascii="Arial" w:hAnsi="Arial"/>
                <w:color w:val="252A2E"/>
                <w:sz w:val="16"/>
              </w:rPr>
              <w:t>Rahmenbedingungen</w:t>
            </w:r>
          </w:p>
        </w:tc>
        <w:tc>
          <w:tcPr>
            <w:tcW w:type="dxa" w:w="5040"/>
          </w:tcPr>
          <w:p>
            <w:r>
              <w:rPr>
                <w:rFonts w:ascii="Arial" w:hAnsi="Arial"/>
                <w:color w:val="252A2E"/>
                <w:sz w:val="16"/>
              </w:rPr>
              <w:t>GEG, EPBD, CO2KostAufG, Mietrecht, Grundsteuer C, Zweckentfremdung, Förder- und Finanzierungslogik koppeln.</w:t>
            </w:r>
          </w:p>
        </w:tc>
      </w:tr>
      <w:tr>
        <w:tc>
          <w:tcPr>
            <w:tcW w:type="dxa" w:w="5040"/>
          </w:tcPr>
          <w:p>
            <w:r>
              <w:rPr>
                <w:rFonts w:ascii="Arial" w:hAnsi="Arial"/>
                <w:color w:val="252A2E"/>
                <w:sz w:val="16"/>
              </w:rPr>
              <w:t>Ausgestaltungsspielraum</w:t>
            </w:r>
          </w:p>
        </w:tc>
        <w:tc>
          <w:tcPr>
            <w:tcW w:type="dxa" w:w="5040"/>
          </w:tcPr>
          <w:p>
            <w:r>
              <w:rPr>
                <w:rFonts w:ascii="Arial" w:hAnsi="Arial"/>
                <w:color w:val="252A2E"/>
                <w:sz w:val="16"/>
              </w:rPr>
              <w:t>Tempo, Verbindlichkeit, Bonus/Malus, kommunale Rollen, Förderhöhe, Datenschutz und Eigentumsschutz bleiben demokratisch gestaltbar.</w:t>
            </w:r>
          </w:p>
        </w:tc>
      </w:tr>
      <w:tr>
        <w:tc>
          <w:tcPr>
            <w:tcW w:type="dxa" w:w="5040"/>
          </w:tcPr>
          <w:p>
            <w:r>
              <w:rPr>
                <w:rFonts w:ascii="Arial" w:hAnsi="Arial"/>
                <w:color w:val="252A2E"/>
                <w:sz w:val="16"/>
              </w:rPr>
              <w:t>Zielkonflikte</w:t>
            </w:r>
          </w:p>
        </w:tc>
        <w:tc>
          <w:tcPr>
            <w:tcW w:type="dxa" w:w="5040"/>
          </w:tcPr>
          <w:p>
            <w:r>
              <w:rPr>
                <w:rFonts w:ascii="Arial" w:hAnsi="Arial"/>
                <w:color w:val="252A2E"/>
                <w:sz w:val="16"/>
              </w:rPr>
              <w:t>Bezahlbarkeit vs. Sanierungskosten; Eigentumsfreiheit vs. Wohnraumsicherung; Neubau vs. Flächenverbrauch; Transparenz vs. Datenschutz.</w:t>
            </w:r>
          </w:p>
        </w:tc>
      </w:tr>
      <w:tr>
        <w:tc>
          <w:tcPr>
            <w:tcW w:type="dxa" w:w="5040"/>
          </w:tcPr>
          <w:p>
            <w:r>
              <w:rPr>
                <w:rFonts w:ascii="Arial" w:hAnsi="Arial"/>
                <w:color w:val="252A2E"/>
                <w:sz w:val="16"/>
              </w:rPr>
              <w:t>Rollenverteilung</w:t>
            </w:r>
          </w:p>
        </w:tc>
        <w:tc>
          <w:tcPr>
            <w:tcW w:type="dxa" w:w="5040"/>
          </w:tcPr>
          <w:p>
            <w:r>
              <w:rPr>
                <w:rFonts w:ascii="Arial" w:hAnsi="Arial"/>
                <w:color w:val="252A2E"/>
                <w:sz w:val="16"/>
              </w:rPr>
              <w:t>EU: Gebäuderahmen; Bund: Miet-, Steuer-, Energie- und Finanzregeln; Länder/Kommunen: Vollzug, Planung, Zweckentfremdung, Förderprogramme.</w:t>
            </w:r>
          </w:p>
        </w:tc>
      </w:tr>
      <w:tr>
        <w:tc>
          <w:tcPr>
            <w:tcW w:type="dxa" w:w="5040"/>
          </w:tcPr>
          <w:p>
            <w:r>
              <w:rPr>
                <w:rFonts w:ascii="Arial" w:hAnsi="Arial"/>
                <w:color w:val="252A2E"/>
                <w:sz w:val="16"/>
              </w:rPr>
              <w:t>Übergang und Schutz</w:t>
            </w:r>
          </w:p>
        </w:tc>
        <w:tc>
          <w:tcPr>
            <w:tcW w:type="dxa" w:w="5040"/>
          </w:tcPr>
          <w:p>
            <w:r>
              <w:rPr>
                <w:rFonts w:ascii="Arial" w:hAnsi="Arial"/>
                <w:color w:val="252A2E"/>
                <w:sz w:val="16"/>
              </w:rPr>
              <w:t>Pilotierung, Kleinvermieter:innen-Schutz, Härtefälle, Sozialabfederung, Sanierungsfahrpläne, Rechtsschutz.</w:t>
            </w:r>
          </w:p>
        </w:tc>
      </w:tr>
      <w:tr>
        <w:tc>
          <w:tcPr>
            <w:tcW w:type="dxa" w:w="5040"/>
          </w:tcPr>
          <w:p>
            <w:r>
              <w:rPr>
                <w:rFonts w:ascii="Arial" w:hAnsi="Arial"/>
                <w:color w:val="252A2E"/>
                <w:sz w:val="16"/>
              </w:rPr>
              <w:t>Evaluation</w:t>
            </w:r>
          </w:p>
        </w:tc>
        <w:tc>
          <w:tcPr>
            <w:tcW w:type="dxa" w:w="5040"/>
          </w:tcPr>
          <w:p>
            <w:r>
              <w:rPr>
                <w:rFonts w:ascii="Arial" w:hAnsi="Arial"/>
                <w:color w:val="252A2E"/>
                <w:sz w:val="16"/>
              </w:rPr>
              <w:t>Wohnwirkungsbericht, Miet-/Nebenkostenmonitoring, Stranded-Asset-Check, öffentliche Konsultation, Benchmark-Revision.</w:t>
            </w:r>
          </w:p>
        </w:tc>
      </w:tr>
      <w:tr>
        <w:tc>
          <w:tcPr>
            <w:tcW w:type="dxa" w:w="5040"/>
          </w:tcPr>
          <w:p>
            <w:r>
              <w:rPr>
                <w:rFonts w:ascii="Arial" w:hAnsi="Arial"/>
                <w:color w:val="252A2E"/>
                <w:sz w:val="16"/>
              </w:rPr>
              <w:t>Schutz vor Technokratie</w:t>
            </w:r>
          </w:p>
        </w:tc>
        <w:tc>
          <w:tcPr>
            <w:tcW w:type="dxa" w:w="5040"/>
          </w:tcPr>
          <w:p>
            <w:r>
              <w:rPr>
                <w:rFonts w:ascii="Arial" w:hAnsi="Arial"/>
                <w:color w:val="252A2E"/>
                <w:sz w:val="16"/>
              </w:rPr>
              <w:t>Wirkungsdaten bereiten Entscheidungen vor, ersetzen aber nicht demokratische Gesetzgebung und gerichtlichen Rechtsschutz.</w:t>
            </w:r>
          </w:p>
        </w:tc>
      </w:tr>
    </w:tbl>
    <w:p/>
    <w:p>
      <w:pPr>
        <w:pStyle w:val="Heading1"/>
      </w:pPr>
      <w:r>
        <w:t>15. Website- und Portalintegration</w:t>
      </w:r>
    </w:p>
    <w:p>
      <w:pPr>
        <w:spacing w:after="120" w:line="271" w:lineRule="auto"/>
      </w:pPr>
      <w:r>
        <w:rPr>
          <w:rFonts w:ascii="Arial" w:hAnsi="Arial"/>
          <w:b w:val="0"/>
          <w:color w:val="252A2E"/>
          <w:sz w:val="20"/>
        </w:rPr>
        <w:t>Der Unterbereich muss vollständig online lesbar sein. Er darf nicht nur eine Downloadkarte sein. Die Portal-Seite sollte die Investor:innen- und Vermieter:innenperspektive als eigenen Einstieg im Wirkungsfeld Wohnen &amp; Stadt führen.</w:t>
      </w:r>
    </w:p>
    <w:p>
      <w:pPr>
        <w:spacing w:after="120" w:line="271" w:lineRule="auto"/>
      </w:pPr>
      <w:r>
        <w:rPr>
          <w:rFonts w:ascii="Arial" w:hAnsi="Arial"/>
          <w:b w:val="0"/>
          <w:color w:val="252A2E"/>
          <w:sz w:val="20"/>
        </w:rPr>
        <w:t>Die Seite sollte mit dem bestehenden Wohnportal, der Funktionsweise, dem Leitbild, dem SDG-/SDG+-Referenzrahmen, dem Glossar, dem Wirkungsrat, dem Wirkungshaushalt, T-SROI, WÖk-IDs und vorhandenen Journalbeiträgen verbunden werden. Externe Quellen werden im Quellenblock verlinkt.</w:t>
      </w:r>
    </w:p>
    <w:p>
      <w:pPr>
        <w:spacing w:after="120" w:line="271" w:lineRule="auto"/>
      </w:pPr>
      <w:r>
        <w:rPr>
          <w:rFonts w:ascii="Arial" w:hAnsi="Arial"/>
          <w:b w:val="0"/>
          <w:color w:val="252A2E"/>
          <w:sz w:val="20"/>
        </w:rPr>
        <w:t>Das Tool-Set umfasst WIX-VI, Vermieter:innen-Wirkungscheck, Stranded-Asset-Check, Spekulationsrisiko-Monitor, Warmmietenneutralitätsrechner und Portfolio-Wirkungsprofil.</w:t>
      </w:r>
    </w:p>
    <w:p>
      <w:pPr>
        <w:pStyle w:val="Heading1"/>
      </w:pPr>
      <w:r>
        <w:t>16. Fazit</w:t>
      </w:r>
    </w:p>
    <w:p>
      <w:pPr>
        <w:spacing w:after="120" w:line="271" w:lineRule="auto"/>
      </w:pPr>
      <w:r>
        <w:rPr>
          <w:rFonts w:ascii="Arial" w:hAnsi="Arial"/>
          <w:b w:val="0"/>
          <w:color w:val="252A2E"/>
          <w:sz w:val="20"/>
        </w:rPr>
        <w:t>Die Ergänzung der Vermieter:innen- und Investor:innenperspektive macht das Wohnportal realistischer und anschlussfähiger. Sie zeigt, dass die Wirkungsökonomie nicht gegen Eigentum arbeitet, sondern Eigentum an seine gesellschaftliche Funktion zurückbindet.</w:t>
      </w:r>
    </w:p>
    <w:p>
      <w:pPr>
        <w:spacing w:after="120" w:line="271" w:lineRule="auto"/>
      </w:pPr>
      <w:r>
        <w:rPr>
          <w:rFonts w:ascii="Arial" w:hAnsi="Arial"/>
          <w:b w:val="0"/>
          <w:color w:val="252A2E"/>
          <w:sz w:val="20"/>
        </w:rPr>
        <w:t>Gute Vermietung und verantwortliche Investition sollen sich lohnen. Spekulation, Vernachlässigung und Verdrängung verlieren ihren ökonomischen Vorteil. Stranded Assets werden früh erkannt, nicht erst, wenn Wertverluste eingetreten sind.</w:t>
      </w:r>
    </w:p>
    <w:p>
      <w:pPr>
        <w:spacing w:after="120" w:line="271" w:lineRule="auto"/>
      </w:pPr>
      <w:r>
        <w:rPr>
          <w:rFonts w:ascii="Arial" w:hAnsi="Arial"/>
          <w:b w:val="0"/>
          <w:color w:val="252A2E"/>
          <w:sz w:val="20"/>
        </w:rPr>
        <w:t>Damit entsteht ein Wohnungsmarkt, in dem Rendite nicht aus Knappheit, sondern aus positiver Wohnwirkung entsteht.</w:t>
      </w:r>
    </w:p>
    <w:p>
      <w:pPr>
        <w:pStyle w:val="Heading1"/>
      </w:pPr>
      <w:r>
        <w:t>Quellen und Online-Referenzen</w:t>
      </w:r>
    </w:p>
    <w:p>
      <w:pPr>
        <w:spacing w:after="120" w:line="271" w:lineRule="auto"/>
      </w:pPr>
      <w:r>
        <w:rPr>
          <w:rFonts w:ascii="Arial" w:hAnsi="Arial"/>
          <w:b w:val="0"/>
          <w:color w:val="252A2E"/>
          <w:sz w:val="20"/>
        </w:rPr>
        <w:t>Diese Ausarbeitung nutzt vorhandene WÖk-Grundlagen und öffentliche Quellen. Sie ersetzt keine Rechts-, Steuer-, Anlage- oder Finanzierungsberatung. Externe Quellen werden für die Website als Linkregister empfohlen.</w:t>
      </w:r>
    </w:p>
    <w:tbl>
      <w:tblPr>
        <w:tblStyle w:val="TableGrid"/>
        <w:tblW w:type="auto" w:w="0"/>
        <w:jc w:val="center"/>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Quelle</w:t>
            </w:r>
          </w:p>
        </w:tc>
        <w:tc>
          <w:tcPr>
            <w:tcW w:type="dxa" w:w="5040"/>
            <w:shd w:fill="001D30"/>
          </w:tcPr>
          <w:p>
            <w:r>
              <w:rPr>
                <w:rFonts w:ascii="Arial" w:hAnsi="Arial"/>
                <w:b/>
                <w:color w:val="FFFFFF"/>
                <w:sz w:val="16"/>
              </w:rPr>
              <w:t>Nutzung</w:t>
            </w:r>
          </w:p>
        </w:tc>
      </w:tr>
      <w:tr>
        <w:tc>
          <w:tcPr>
            <w:tcW w:type="dxa" w:w="5040"/>
          </w:tcPr>
          <w:p>
            <w:r>
              <w:rPr>
                <w:rFonts w:ascii="Arial" w:hAnsi="Arial"/>
                <w:color w:val="252A2E"/>
                <w:sz w:val="16"/>
              </w:rPr>
              <w:t>WÖk Working-Paper Wohnungsmarkt</w:t>
            </w:r>
          </w:p>
        </w:tc>
        <w:tc>
          <w:tcPr>
            <w:tcW w:type="dxa" w:w="5040"/>
          </w:tcPr>
          <w:p>
            <w:r>
              <w:rPr>
                <w:rFonts w:ascii="Arial" w:hAnsi="Arial"/>
                <w:color w:val="252A2E"/>
                <w:sz w:val="16"/>
              </w:rPr>
              <w:t>Working-Paper Wohnungsmarkt: Bezahlbar, nachhaltig, gerecht, Natalie Weber, 2025.</w:t>
            </w:r>
          </w:p>
        </w:tc>
      </w:tr>
      <w:tr>
        <w:tc>
          <w:tcPr>
            <w:tcW w:type="dxa" w:w="5040"/>
          </w:tcPr>
          <w:p>
            <w:r>
              <w:rPr>
                <w:rFonts w:ascii="Arial" w:hAnsi="Arial"/>
                <w:color w:val="252A2E"/>
                <w:sz w:val="16"/>
              </w:rPr>
              <w:t>WÖk Buchanker</w:t>
            </w:r>
          </w:p>
        </w:tc>
        <w:tc>
          <w:tcPr>
            <w:tcW w:type="dxa" w:w="5040"/>
          </w:tcPr>
          <w:p>
            <w:r>
              <w:rPr>
                <w:rFonts w:ascii="Arial" w:hAnsi="Arial"/>
                <w:color w:val="252A2E"/>
                <w:sz w:val="16"/>
              </w:rPr>
              <w:t>Die neue Ordnung des Wohlstands, insbesondere Kapitel 3.15, 70.2–70.4, 59, 70.3 und 70.4.</w:t>
            </w:r>
          </w:p>
        </w:tc>
      </w:tr>
      <w:tr>
        <w:tc>
          <w:tcPr>
            <w:tcW w:type="dxa" w:w="5040"/>
          </w:tcPr>
          <w:p>
            <w:r>
              <w:rPr>
                <w:rFonts w:ascii="Arial" w:hAnsi="Arial"/>
                <w:color w:val="252A2E"/>
                <w:sz w:val="16"/>
              </w:rPr>
              <w:t>WÖk Begriffsleitfaden</w:t>
            </w:r>
          </w:p>
        </w:tc>
        <w:tc>
          <w:tcPr>
            <w:tcW w:type="dxa" w:w="5040"/>
          </w:tcPr>
          <w:p>
            <w:r>
              <w:rPr>
                <w:rFonts w:ascii="Arial" w:hAnsi="Arial"/>
                <w:color w:val="252A2E"/>
                <w:sz w:val="16"/>
              </w:rPr>
              <w:t>Führender Begriffsleitfaden der Wirkungsökonomie, Version 1.0, 21. Mai 2026.</w:t>
            </w:r>
          </w:p>
        </w:tc>
      </w:tr>
      <w:tr>
        <w:tc>
          <w:tcPr>
            <w:tcW w:type="dxa" w:w="5040"/>
          </w:tcPr>
          <w:p>
            <w:r>
              <w:rPr>
                <w:rFonts w:ascii="Arial" w:hAnsi="Arial"/>
                <w:color w:val="252A2E"/>
                <w:sz w:val="16"/>
              </w:rPr>
              <w:t>EU EPBD</w:t>
            </w:r>
          </w:p>
        </w:tc>
        <w:tc>
          <w:tcPr>
            <w:tcW w:type="dxa" w:w="5040"/>
          </w:tcPr>
          <w:p>
            <w:r>
              <w:rPr>
                <w:rFonts w:ascii="Arial" w:hAnsi="Arial"/>
                <w:color w:val="252A2E"/>
                <w:sz w:val="16"/>
              </w:rPr>
              <w:t>European Commission: Energy Performance of Buildings Directive, EU/2024/1275.</w:t>
            </w:r>
          </w:p>
        </w:tc>
      </w:tr>
      <w:tr>
        <w:tc>
          <w:tcPr>
            <w:tcW w:type="dxa" w:w="5040"/>
          </w:tcPr>
          <w:p>
            <w:r>
              <w:rPr>
                <w:rFonts w:ascii="Arial" w:hAnsi="Arial"/>
                <w:color w:val="252A2E"/>
                <w:sz w:val="16"/>
              </w:rPr>
              <w:t>GEG</w:t>
            </w:r>
          </w:p>
        </w:tc>
        <w:tc>
          <w:tcPr>
            <w:tcW w:type="dxa" w:w="5040"/>
          </w:tcPr>
          <w:p>
            <w:r>
              <w:rPr>
                <w:rFonts w:ascii="Arial" w:hAnsi="Arial"/>
                <w:color w:val="252A2E"/>
                <w:sz w:val="16"/>
              </w:rPr>
              <w:t>Gebäudeenergiegesetz und BMWK-Informationen zur 65-Prozent-Erneuerbare-Energien-Regel.</w:t>
            </w:r>
          </w:p>
        </w:tc>
      </w:tr>
      <w:tr>
        <w:tc>
          <w:tcPr>
            <w:tcW w:type="dxa" w:w="5040"/>
          </w:tcPr>
          <w:p>
            <w:r>
              <w:rPr>
                <w:rFonts w:ascii="Arial" w:hAnsi="Arial"/>
                <w:color w:val="252A2E"/>
                <w:sz w:val="16"/>
              </w:rPr>
              <w:t>CO2KostAufG</w:t>
            </w:r>
          </w:p>
        </w:tc>
        <w:tc>
          <w:tcPr>
            <w:tcW w:type="dxa" w:w="5040"/>
          </w:tcPr>
          <w:p>
            <w:r>
              <w:rPr>
                <w:rFonts w:ascii="Arial" w:hAnsi="Arial"/>
                <w:color w:val="252A2E"/>
                <w:sz w:val="16"/>
              </w:rPr>
              <w:t>Gesetz zur Aufteilung der Kohlendioxidkosten zwischen Vermietenden und Mietenden.</w:t>
            </w:r>
          </w:p>
        </w:tc>
      </w:tr>
      <w:tr>
        <w:tc>
          <w:tcPr>
            <w:tcW w:type="dxa" w:w="5040"/>
          </w:tcPr>
          <w:p>
            <w:r>
              <w:rPr>
                <w:rFonts w:ascii="Arial" w:hAnsi="Arial"/>
                <w:color w:val="252A2E"/>
                <w:sz w:val="16"/>
              </w:rPr>
              <w:t>BGB Mietrecht</w:t>
            </w:r>
          </w:p>
        </w:tc>
        <w:tc>
          <w:tcPr>
            <w:tcW w:type="dxa" w:w="5040"/>
          </w:tcPr>
          <w:p>
            <w:r>
              <w:rPr>
                <w:rFonts w:ascii="Arial" w:hAnsi="Arial"/>
                <w:color w:val="252A2E"/>
                <w:sz w:val="16"/>
              </w:rPr>
              <w:t>BGB §§ 535, 555b, 559: Erhaltungspflicht, Modernisierung, Modernisierungsmieterhöhung.</w:t>
            </w:r>
          </w:p>
        </w:tc>
      </w:tr>
      <w:tr>
        <w:tc>
          <w:tcPr>
            <w:tcW w:type="dxa" w:w="5040"/>
          </w:tcPr>
          <w:p>
            <w:r>
              <w:rPr>
                <w:rFonts w:ascii="Arial" w:hAnsi="Arial"/>
                <w:color w:val="252A2E"/>
                <w:sz w:val="16"/>
              </w:rPr>
              <w:t>Berlin Zweckentfremdung</w:t>
            </w:r>
          </w:p>
        </w:tc>
        <w:tc>
          <w:tcPr>
            <w:tcW w:type="dxa" w:w="5040"/>
          </w:tcPr>
          <w:p>
            <w:r>
              <w:rPr>
                <w:rFonts w:ascii="Arial" w:hAnsi="Arial"/>
                <w:color w:val="252A2E"/>
                <w:sz w:val="16"/>
              </w:rPr>
              <w:t>Berliner Zweckentfremdungsverbot und 4. ZwVbVO 2026.</w:t>
            </w:r>
          </w:p>
        </w:tc>
      </w:tr>
      <w:tr>
        <w:tc>
          <w:tcPr>
            <w:tcW w:type="dxa" w:w="5040"/>
          </w:tcPr>
          <w:p>
            <w:r>
              <w:rPr>
                <w:rFonts w:ascii="Arial" w:hAnsi="Arial"/>
                <w:color w:val="252A2E"/>
                <w:sz w:val="16"/>
              </w:rPr>
              <w:t>Grundsteuer C</w:t>
            </w:r>
          </w:p>
        </w:tc>
        <w:tc>
          <w:tcPr>
            <w:tcW w:type="dxa" w:w="5040"/>
          </w:tcPr>
          <w:p>
            <w:r>
              <w:rPr>
                <w:rFonts w:ascii="Arial" w:hAnsi="Arial"/>
                <w:color w:val="252A2E"/>
                <w:sz w:val="16"/>
              </w:rPr>
              <w:t>BMF FAQ zur Grundsteuerreform und baureifen unbebauten Grundstücken.</w:t>
            </w:r>
          </w:p>
        </w:tc>
      </w:tr>
      <w:tr>
        <w:tc>
          <w:tcPr>
            <w:tcW w:type="dxa" w:w="5040"/>
          </w:tcPr>
          <w:p>
            <w:r>
              <w:rPr>
                <w:rFonts w:ascii="Arial" w:hAnsi="Arial"/>
                <w:color w:val="252A2E"/>
                <w:sz w:val="16"/>
              </w:rPr>
              <w:t>CRREM</w:t>
            </w:r>
          </w:p>
        </w:tc>
        <w:tc>
          <w:tcPr>
            <w:tcW w:type="dxa" w:w="5040"/>
          </w:tcPr>
          <w:p>
            <w:r>
              <w:rPr>
                <w:rFonts w:ascii="Arial" w:hAnsi="Arial"/>
                <w:color w:val="252A2E"/>
                <w:sz w:val="16"/>
              </w:rPr>
              <w:t>Carbon Risk Real Estate Monitor: Stranding Risk / Stranded Assets.</w:t>
            </w:r>
          </w:p>
        </w:tc>
      </w:tr>
      <w:tr>
        <w:tc>
          <w:tcPr>
            <w:tcW w:type="dxa" w:w="5040"/>
          </w:tcPr>
          <w:p>
            <w:r>
              <w:rPr>
                <w:rFonts w:ascii="Arial" w:hAnsi="Arial"/>
                <w:color w:val="252A2E"/>
                <w:sz w:val="16"/>
              </w:rPr>
              <w:t>EU Taxonomy Navigator</w:t>
            </w:r>
          </w:p>
        </w:tc>
        <w:tc>
          <w:tcPr>
            <w:tcW w:type="dxa" w:w="5040"/>
          </w:tcPr>
          <w:p>
            <w:r>
              <w:rPr>
                <w:rFonts w:ascii="Arial" w:hAnsi="Arial"/>
                <w:color w:val="252A2E"/>
                <w:sz w:val="16"/>
              </w:rPr>
              <w:t>Taxonomie-Aktivitäten Neubau, Sanierung, Erwerb und Eigentum von Gebäuden.</w:t>
            </w:r>
          </w:p>
        </w:tc>
      </w:tr>
      <w:tr>
        <w:tc>
          <w:tcPr>
            <w:tcW w:type="dxa" w:w="5040"/>
          </w:tcPr>
          <w:p>
            <w:r>
              <w:rPr>
                <w:rFonts w:ascii="Arial" w:hAnsi="Arial"/>
                <w:color w:val="252A2E"/>
                <w:sz w:val="16"/>
              </w:rPr>
              <w:t>Destatis/BBSR/UBA</w:t>
            </w:r>
          </w:p>
        </w:tc>
        <w:tc>
          <w:tcPr>
            <w:tcW w:type="dxa" w:w="5040"/>
          </w:tcPr>
          <w:p>
            <w:r>
              <w:rPr>
                <w:rFonts w:ascii="Arial" w:hAnsi="Arial"/>
                <w:color w:val="252A2E"/>
                <w:sz w:val="16"/>
              </w:rPr>
              <w:t>Wohnkostenüberbelastung, Wohnungsbedarf, Gebäudesektor-Emissionen.</w:t>
            </w:r>
          </w:p>
        </w:tc>
      </w:tr>
    </w:tbl>
    <w:p/>
    <w:p>
      <w:pPr>
        <w:pStyle w:val="Heading1"/>
      </w:pPr>
      <w:r>
        <w:t>Glossar-Ergänzungen für das Portal</w:t>
      </w:r>
    </w:p>
    <w:tbl>
      <w:tblPr>
        <w:tblStyle w:val="TableGrid"/>
        <w:tblW w:type="auto" w:w="0"/>
        <w:jc w:val="center"/>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Begriff</w:t>
            </w:r>
          </w:p>
        </w:tc>
        <w:tc>
          <w:tcPr>
            <w:tcW w:type="dxa" w:w="5040"/>
            <w:shd w:fill="001D30"/>
          </w:tcPr>
          <w:p>
            <w:r>
              <w:rPr>
                <w:rFonts w:ascii="Arial" w:hAnsi="Arial"/>
                <w:b/>
                <w:color w:val="FFFFFF"/>
                <w:sz w:val="16"/>
              </w:rPr>
              <w:t>Definition</w:t>
            </w:r>
          </w:p>
        </w:tc>
      </w:tr>
      <w:tr>
        <w:tc>
          <w:tcPr>
            <w:tcW w:type="dxa" w:w="5040"/>
          </w:tcPr>
          <w:p>
            <w:r>
              <w:rPr>
                <w:rFonts w:ascii="Arial" w:hAnsi="Arial"/>
                <w:color w:val="252A2E"/>
                <w:sz w:val="16"/>
              </w:rPr>
              <w:t>Wirkungsvermietung</w:t>
            </w:r>
          </w:p>
        </w:tc>
        <w:tc>
          <w:tcPr>
            <w:tcW w:type="dxa" w:w="5040"/>
          </w:tcPr>
          <w:p>
            <w:r>
              <w:rPr>
                <w:rFonts w:ascii="Arial" w:hAnsi="Arial"/>
                <w:color w:val="252A2E"/>
                <w:sz w:val="16"/>
              </w:rPr>
              <w:t>Vermietung, die positive Netto-Wirkung für Bezahlbarkeit, Gesundheit, Energie, Teilhabe, Quartier und Demokratie erzeugt.</w:t>
            </w:r>
          </w:p>
        </w:tc>
      </w:tr>
      <w:tr>
        <w:tc>
          <w:tcPr>
            <w:tcW w:type="dxa" w:w="5040"/>
          </w:tcPr>
          <w:p>
            <w:r>
              <w:rPr>
                <w:rFonts w:ascii="Arial" w:hAnsi="Arial"/>
                <w:color w:val="252A2E"/>
                <w:sz w:val="16"/>
              </w:rPr>
              <w:t>Spekulationslogik</w:t>
            </w:r>
          </w:p>
        </w:tc>
        <w:tc>
          <w:tcPr>
            <w:tcW w:type="dxa" w:w="5040"/>
          </w:tcPr>
          <w:p>
            <w:r>
              <w:rPr>
                <w:rFonts w:ascii="Arial" w:hAnsi="Arial"/>
                <w:color w:val="252A2E"/>
                <w:sz w:val="16"/>
              </w:rPr>
              <w:t>Verwertung von Wohnraum oder Boden durch Knappheit, Nichtnutzung, Verdrängung oder Intransparenz statt durch Nutzungs- und Wohnwirkung.</w:t>
            </w:r>
          </w:p>
        </w:tc>
      </w:tr>
      <w:tr>
        <w:tc>
          <w:tcPr>
            <w:tcW w:type="dxa" w:w="5040"/>
          </w:tcPr>
          <w:p>
            <w:r>
              <w:rPr>
                <w:rFonts w:ascii="Arial" w:hAnsi="Arial"/>
                <w:color w:val="252A2E"/>
                <w:sz w:val="16"/>
              </w:rPr>
              <w:t>Stranded Asset</w:t>
            </w:r>
          </w:p>
        </w:tc>
        <w:tc>
          <w:tcPr>
            <w:tcW w:type="dxa" w:w="5040"/>
          </w:tcPr>
          <w:p>
            <w:r>
              <w:rPr>
                <w:rFonts w:ascii="Arial" w:hAnsi="Arial"/>
                <w:color w:val="252A2E"/>
                <w:sz w:val="16"/>
              </w:rPr>
              <w:t>Gebäude oder Portfolio mit vorzeitigem Wert- oder Nutzbarkeitsverlust durch Klima-, Energie-, Sozial-, Regulierungs- oder Marktrisiken.</w:t>
            </w:r>
          </w:p>
        </w:tc>
      </w:tr>
      <w:tr>
        <w:tc>
          <w:tcPr>
            <w:tcW w:type="dxa" w:w="5040"/>
          </w:tcPr>
          <w:p>
            <w:r>
              <w:rPr>
                <w:rFonts w:ascii="Arial" w:hAnsi="Arial"/>
                <w:color w:val="252A2E"/>
                <w:sz w:val="16"/>
              </w:rPr>
              <w:t>WIX-VI</w:t>
            </w:r>
          </w:p>
        </w:tc>
        <w:tc>
          <w:tcPr>
            <w:tcW w:type="dxa" w:w="5040"/>
          </w:tcPr>
          <w:p>
            <w:r>
              <w:rPr>
                <w:rFonts w:ascii="Arial" w:hAnsi="Arial"/>
                <w:color w:val="252A2E"/>
                <w:sz w:val="16"/>
              </w:rPr>
              <w:t>Untermodul des Wohnwirkungsindex für Vermietung und Investment.</w:t>
            </w:r>
          </w:p>
        </w:tc>
      </w:tr>
      <w:tr>
        <w:tc>
          <w:tcPr>
            <w:tcW w:type="dxa" w:w="5040"/>
          </w:tcPr>
          <w:p>
            <w:r>
              <w:rPr>
                <w:rFonts w:ascii="Arial" w:hAnsi="Arial"/>
                <w:color w:val="252A2E"/>
                <w:sz w:val="16"/>
              </w:rPr>
              <w:t>Warmmietenneutralität</w:t>
            </w:r>
          </w:p>
        </w:tc>
        <w:tc>
          <w:tcPr>
            <w:tcW w:type="dxa" w:w="5040"/>
          </w:tcPr>
          <w:p>
            <w:r>
              <w:rPr>
                <w:rFonts w:ascii="Arial" w:hAnsi="Arial"/>
                <w:color w:val="252A2E"/>
                <w:sz w:val="16"/>
              </w:rPr>
              <w:t>Sanierungspfad, bei dem Kaltmiete, Nebenkosten und Entlastungen gemeinsam betrachtet werden, sodass die reale Wohnkostenbelastung nicht steigt oder sozial abgefedert wird.</w:t>
            </w:r>
          </w:p>
        </w:tc>
      </w:tr>
    </w:tbl>
    <w:p/>
    <w:p>
      <w:r>
        <w:br w:type="page"/>
      </w:r>
    </w:p>
    <w:p>
      <w:pPr>
        <w:pStyle w:val="Heading1"/>
      </w:pPr>
      <w:r>
        <w:t>Anhang A – Rechtliche Anschlussstellen im Detail</w:t>
      </w:r>
    </w:p>
    <w:p>
      <w:pPr>
        <w:spacing w:after="120" w:line="271" w:lineRule="auto"/>
      </w:pPr>
      <w:r>
        <w:rPr>
          <w:rFonts w:ascii="Arial" w:hAnsi="Arial"/>
          <w:b w:val="0"/>
          <w:color w:val="252A2E"/>
          <w:sz w:val="20"/>
        </w:rPr>
        <w:t>Dieser Anhang vertieft, welche bestehenden Rechtsinstrumente bereits heute in eine wirkungsökonomische Wohnordnung übersetzt werden können. Die Wirkungsökonomie beginnt nicht bei null. Sie ordnet bestehende Instrumente neu, verbindet sie mit Wirkungsdaten und macht aus Einzelpflichten eine lernende Rückkopplungsarchitektur.</w:t>
      </w:r>
    </w:p>
    <w:tbl>
      <w:tblPr>
        <w:tblStyle w:val="TableGrid"/>
        <w:tblW w:type="auto" w:w="0"/>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Instrument</w:t>
            </w:r>
          </w:p>
        </w:tc>
        <w:tc>
          <w:tcPr>
            <w:tcW w:type="dxa" w:w="3360"/>
            <w:shd w:fill="001D30"/>
          </w:tcPr>
          <w:p>
            <w:r>
              <w:rPr>
                <w:rFonts w:ascii="Arial" w:hAnsi="Arial"/>
                <w:b/>
                <w:color w:val="FFFFFF"/>
                <w:sz w:val="16"/>
              </w:rPr>
              <w:t>Heute bereits relevant</w:t>
            </w:r>
          </w:p>
        </w:tc>
        <w:tc>
          <w:tcPr>
            <w:tcW w:type="dxa" w:w="3360"/>
            <w:shd w:fill="001D30"/>
          </w:tcPr>
          <w:p>
            <w:r>
              <w:rPr>
                <w:rFonts w:ascii="Arial" w:hAnsi="Arial"/>
                <w:b/>
                <w:color w:val="FFFFFF"/>
                <w:sz w:val="16"/>
              </w:rPr>
              <w:t>WÖk-Übersetzung</w:t>
            </w:r>
          </w:p>
        </w:tc>
      </w:tr>
      <w:tr>
        <w:tc>
          <w:tcPr>
            <w:tcW w:type="dxa" w:w="3360"/>
          </w:tcPr>
          <w:p>
            <w:r>
              <w:rPr>
                <w:rFonts w:ascii="Arial" w:hAnsi="Arial"/>
                <w:color w:val="252A2E"/>
                <w:sz w:val="16"/>
              </w:rPr>
              <w:t>BGB § 535</w:t>
            </w:r>
          </w:p>
        </w:tc>
        <w:tc>
          <w:tcPr>
            <w:tcW w:type="dxa" w:w="3360"/>
          </w:tcPr>
          <w:p>
            <w:r>
              <w:rPr>
                <w:rFonts w:ascii="Arial" w:hAnsi="Arial"/>
                <w:color w:val="252A2E"/>
                <w:sz w:val="16"/>
              </w:rPr>
              <w:t>Erhaltung der Mietsache</w:t>
            </w:r>
          </w:p>
        </w:tc>
        <w:tc>
          <w:tcPr>
            <w:tcW w:type="dxa" w:w="3360"/>
          </w:tcPr>
          <w:p>
            <w:r>
              <w:rPr>
                <w:rFonts w:ascii="Arial" w:hAnsi="Arial"/>
                <w:color w:val="252A2E"/>
                <w:sz w:val="16"/>
              </w:rPr>
              <w:t>Grundpflicht guter Vermietung: Wohnen muss nutzbar, sicher und vertragsgemäß bleiben.</w:t>
            </w:r>
          </w:p>
        </w:tc>
      </w:tr>
      <w:tr>
        <w:tc>
          <w:tcPr>
            <w:tcW w:type="dxa" w:w="3360"/>
          </w:tcPr>
          <w:p>
            <w:r>
              <w:rPr>
                <w:rFonts w:ascii="Arial" w:hAnsi="Arial"/>
                <w:color w:val="252A2E"/>
                <w:sz w:val="16"/>
              </w:rPr>
              <w:t>BGB § 555b</w:t>
            </w:r>
          </w:p>
        </w:tc>
        <w:tc>
          <w:tcPr>
            <w:tcW w:type="dxa" w:w="3360"/>
          </w:tcPr>
          <w:p>
            <w:r>
              <w:rPr>
                <w:rFonts w:ascii="Arial" w:hAnsi="Arial"/>
                <w:color w:val="252A2E"/>
                <w:sz w:val="16"/>
              </w:rPr>
              <w:t>Modernisierung, u. a. energetische Modernisierung</w:t>
            </w:r>
          </w:p>
        </w:tc>
        <w:tc>
          <w:tcPr>
            <w:tcW w:type="dxa" w:w="3360"/>
          </w:tcPr>
          <w:p>
            <w:r>
              <w:rPr>
                <w:rFonts w:ascii="Arial" w:hAnsi="Arial"/>
                <w:color w:val="252A2E"/>
                <w:sz w:val="16"/>
              </w:rPr>
              <w:t>Maßnahmen können positiv wirken, müssen aber sozial rückgekoppelt werden.</w:t>
            </w:r>
          </w:p>
        </w:tc>
      </w:tr>
      <w:tr>
        <w:tc>
          <w:tcPr>
            <w:tcW w:type="dxa" w:w="3360"/>
          </w:tcPr>
          <w:p>
            <w:r>
              <w:rPr>
                <w:rFonts w:ascii="Arial" w:hAnsi="Arial"/>
                <w:color w:val="252A2E"/>
                <w:sz w:val="16"/>
              </w:rPr>
              <w:t>BGB § 559</w:t>
            </w:r>
          </w:p>
        </w:tc>
        <w:tc>
          <w:tcPr>
            <w:tcW w:type="dxa" w:w="3360"/>
          </w:tcPr>
          <w:p>
            <w:r>
              <w:rPr>
                <w:rFonts w:ascii="Arial" w:hAnsi="Arial"/>
                <w:color w:val="252A2E"/>
                <w:sz w:val="16"/>
              </w:rPr>
              <w:t>Modernisierungsmieterhöhung</w:t>
            </w:r>
          </w:p>
        </w:tc>
        <w:tc>
          <w:tcPr>
            <w:tcW w:type="dxa" w:w="3360"/>
          </w:tcPr>
          <w:p>
            <w:r>
              <w:rPr>
                <w:rFonts w:ascii="Arial" w:hAnsi="Arial"/>
                <w:color w:val="252A2E"/>
                <w:sz w:val="16"/>
              </w:rPr>
              <w:t>WÖk prüft, ob Modernisierungskosten warmmietenverträglich und wirkungsangemessen umgelegt werden.</w:t>
            </w:r>
          </w:p>
        </w:tc>
      </w:tr>
      <w:tr>
        <w:tc>
          <w:tcPr>
            <w:tcW w:type="dxa" w:w="3360"/>
          </w:tcPr>
          <w:p>
            <w:r>
              <w:rPr>
                <w:rFonts w:ascii="Arial" w:hAnsi="Arial"/>
                <w:color w:val="252A2E"/>
                <w:sz w:val="16"/>
              </w:rPr>
              <w:t>GEG</w:t>
            </w:r>
          </w:p>
        </w:tc>
        <w:tc>
          <w:tcPr>
            <w:tcW w:type="dxa" w:w="3360"/>
          </w:tcPr>
          <w:p>
            <w:r>
              <w:rPr>
                <w:rFonts w:ascii="Arial" w:hAnsi="Arial"/>
                <w:color w:val="252A2E"/>
                <w:sz w:val="16"/>
              </w:rPr>
              <w:t>Energieeffizienz, Energieausweise, Heizungsregeln</w:t>
            </w:r>
          </w:p>
        </w:tc>
        <w:tc>
          <w:tcPr>
            <w:tcW w:type="dxa" w:w="3360"/>
          </w:tcPr>
          <w:p>
            <w:r>
              <w:rPr>
                <w:rFonts w:ascii="Arial" w:hAnsi="Arial"/>
                <w:color w:val="252A2E"/>
                <w:sz w:val="16"/>
              </w:rPr>
              <w:t>Daten- und Transformationsbasis für Klima- und Energiefeld im WIX.</w:t>
            </w:r>
          </w:p>
        </w:tc>
      </w:tr>
      <w:tr>
        <w:tc>
          <w:tcPr>
            <w:tcW w:type="dxa" w:w="3360"/>
          </w:tcPr>
          <w:p>
            <w:r>
              <w:rPr>
                <w:rFonts w:ascii="Arial" w:hAnsi="Arial"/>
                <w:color w:val="252A2E"/>
                <w:sz w:val="16"/>
              </w:rPr>
              <w:t>CO2KostAufG</w:t>
            </w:r>
          </w:p>
        </w:tc>
        <w:tc>
          <w:tcPr>
            <w:tcW w:type="dxa" w:w="3360"/>
          </w:tcPr>
          <w:p>
            <w:r>
              <w:rPr>
                <w:rFonts w:ascii="Arial" w:hAnsi="Arial"/>
                <w:color w:val="252A2E"/>
                <w:sz w:val="16"/>
              </w:rPr>
              <w:t>Aufteilung von CO2-Kosten</w:t>
            </w:r>
          </w:p>
        </w:tc>
        <w:tc>
          <w:tcPr>
            <w:tcW w:type="dxa" w:w="3360"/>
          </w:tcPr>
          <w:p>
            <w:r>
              <w:rPr>
                <w:rFonts w:ascii="Arial" w:hAnsi="Arial"/>
                <w:color w:val="252A2E"/>
                <w:sz w:val="16"/>
              </w:rPr>
              <w:t>Vorläufer einer Wirkungsrückkopplung: schlechtere Gebäude belasten Vermietende stärker.</w:t>
            </w:r>
          </w:p>
        </w:tc>
      </w:tr>
      <w:tr>
        <w:tc>
          <w:tcPr>
            <w:tcW w:type="dxa" w:w="3360"/>
          </w:tcPr>
          <w:p>
            <w:r>
              <w:rPr>
                <w:rFonts w:ascii="Arial" w:hAnsi="Arial"/>
                <w:color w:val="252A2E"/>
                <w:sz w:val="16"/>
              </w:rPr>
              <w:t>EPBD</w:t>
            </w:r>
          </w:p>
        </w:tc>
        <w:tc>
          <w:tcPr>
            <w:tcW w:type="dxa" w:w="3360"/>
          </w:tcPr>
          <w:p>
            <w:r>
              <w:rPr>
                <w:rFonts w:ascii="Arial" w:hAnsi="Arial"/>
                <w:color w:val="252A2E"/>
                <w:sz w:val="16"/>
              </w:rPr>
              <w:t>EU-Dekarbonisierungspfad, Renovierungspläne, EPC, MEPS</w:t>
            </w:r>
          </w:p>
        </w:tc>
        <w:tc>
          <w:tcPr>
            <w:tcW w:type="dxa" w:w="3360"/>
          </w:tcPr>
          <w:p>
            <w:r>
              <w:rPr>
                <w:rFonts w:ascii="Arial" w:hAnsi="Arial"/>
                <w:color w:val="252A2E"/>
                <w:sz w:val="16"/>
              </w:rPr>
              <w:t>Verbindet nationale Gebäudepolitik mit europäischem Transformationspfad.</w:t>
            </w:r>
          </w:p>
        </w:tc>
      </w:tr>
      <w:tr>
        <w:tc>
          <w:tcPr>
            <w:tcW w:type="dxa" w:w="3360"/>
          </w:tcPr>
          <w:p>
            <w:r>
              <w:rPr>
                <w:rFonts w:ascii="Arial" w:hAnsi="Arial"/>
                <w:color w:val="252A2E"/>
                <w:sz w:val="16"/>
              </w:rPr>
              <w:t>Grundsteuer C</w:t>
            </w:r>
          </w:p>
        </w:tc>
        <w:tc>
          <w:tcPr>
            <w:tcW w:type="dxa" w:w="3360"/>
          </w:tcPr>
          <w:p>
            <w:r>
              <w:rPr>
                <w:rFonts w:ascii="Arial" w:hAnsi="Arial"/>
                <w:color w:val="252A2E"/>
                <w:sz w:val="16"/>
              </w:rPr>
              <w:t>höherer Hebesatz für baureife unbebaute Grundstücke</w:t>
            </w:r>
          </w:p>
        </w:tc>
        <w:tc>
          <w:tcPr>
            <w:tcW w:type="dxa" w:w="3360"/>
          </w:tcPr>
          <w:p>
            <w:r>
              <w:rPr>
                <w:rFonts w:ascii="Arial" w:hAnsi="Arial"/>
                <w:color w:val="252A2E"/>
                <w:sz w:val="16"/>
              </w:rPr>
              <w:t>Anschluss an Spekulationsschutz und Bodenaktivierung.</w:t>
            </w:r>
          </w:p>
        </w:tc>
      </w:tr>
      <w:tr>
        <w:tc>
          <w:tcPr>
            <w:tcW w:type="dxa" w:w="3360"/>
          </w:tcPr>
          <w:p>
            <w:r>
              <w:rPr>
                <w:rFonts w:ascii="Arial" w:hAnsi="Arial"/>
                <w:color w:val="252A2E"/>
                <w:sz w:val="16"/>
              </w:rPr>
              <w:t>Zweckentfremdungsrecht</w:t>
            </w:r>
          </w:p>
        </w:tc>
        <w:tc>
          <w:tcPr>
            <w:tcW w:type="dxa" w:w="3360"/>
          </w:tcPr>
          <w:p>
            <w:r>
              <w:rPr>
                <w:rFonts w:ascii="Arial" w:hAnsi="Arial"/>
                <w:color w:val="252A2E"/>
                <w:sz w:val="16"/>
              </w:rPr>
              <w:t>Schutz vor Leerstand, Feriennutzung, Abriss, Gewerbeumwandlung</w:t>
            </w:r>
          </w:p>
        </w:tc>
        <w:tc>
          <w:tcPr>
            <w:tcW w:type="dxa" w:w="3360"/>
          </w:tcPr>
          <w:p>
            <w:r>
              <w:rPr>
                <w:rFonts w:ascii="Arial" w:hAnsi="Arial"/>
                <w:color w:val="252A2E"/>
                <w:sz w:val="16"/>
              </w:rPr>
              <w:t>Kommunales Instrument gegen negative Nutzungswirkung.</w:t>
            </w:r>
          </w:p>
        </w:tc>
      </w:tr>
      <w:tr>
        <w:tc>
          <w:tcPr>
            <w:tcW w:type="dxa" w:w="3360"/>
          </w:tcPr>
          <w:p>
            <w:r>
              <w:rPr>
                <w:rFonts w:ascii="Arial" w:hAnsi="Arial"/>
                <w:color w:val="252A2E"/>
                <w:sz w:val="16"/>
              </w:rPr>
              <w:t>EU-Taxonomie</w:t>
            </w:r>
          </w:p>
        </w:tc>
        <w:tc>
          <w:tcPr>
            <w:tcW w:type="dxa" w:w="3360"/>
          </w:tcPr>
          <w:p>
            <w:r>
              <w:rPr>
                <w:rFonts w:ascii="Arial" w:hAnsi="Arial"/>
                <w:color w:val="252A2E"/>
                <w:sz w:val="16"/>
              </w:rPr>
              <w:t>Finanzmarktklassifikation für Neubau, Sanierung, Erwerb/Eigentum</w:t>
            </w:r>
          </w:p>
        </w:tc>
        <w:tc>
          <w:tcPr>
            <w:tcW w:type="dxa" w:w="3360"/>
          </w:tcPr>
          <w:p>
            <w:r>
              <w:rPr>
                <w:rFonts w:ascii="Arial" w:hAnsi="Arial"/>
                <w:color w:val="252A2E"/>
                <w:sz w:val="16"/>
              </w:rPr>
              <w:t>Anschluss an Kapitalzugang und Stranded-Asset-Risiko.</w:t>
            </w:r>
          </w:p>
        </w:tc>
      </w:tr>
      <w:tr>
        <w:tc>
          <w:tcPr>
            <w:tcW w:type="dxa" w:w="3360"/>
          </w:tcPr>
          <w:p>
            <w:r>
              <w:rPr>
                <w:rFonts w:ascii="Arial" w:hAnsi="Arial"/>
                <w:color w:val="252A2E"/>
                <w:sz w:val="16"/>
              </w:rPr>
              <w:t>CRREM</w:t>
            </w:r>
          </w:p>
        </w:tc>
        <w:tc>
          <w:tcPr>
            <w:tcW w:type="dxa" w:w="3360"/>
          </w:tcPr>
          <w:p>
            <w:r>
              <w:rPr>
                <w:rFonts w:ascii="Arial" w:hAnsi="Arial"/>
                <w:color w:val="252A2E"/>
                <w:sz w:val="16"/>
              </w:rPr>
              <w:t>Dekarbonisierungspfade und Stranding-Risiken</w:t>
            </w:r>
          </w:p>
        </w:tc>
        <w:tc>
          <w:tcPr>
            <w:tcW w:type="dxa" w:w="3360"/>
          </w:tcPr>
          <w:p>
            <w:r>
              <w:rPr>
                <w:rFonts w:ascii="Arial" w:hAnsi="Arial"/>
                <w:color w:val="252A2E"/>
                <w:sz w:val="16"/>
              </w:rPr>
              <w:t>Frühwarnsystem für Portfolio-Risiken und energetische Fehlanpassung.</w:t>
            </w:r>
          </w:p>
        </w:tc>
      </w:tr>
    </w:tbl>
    <w:p/>
    <w:p>
      <w:pPr>
        <w:pStyle w:val="Heading1"/>
      </w:pPr>
      <w:r>
        <w:t>Anhang B – Bewertungsregeln für gute Vermietung</w:t>
      </w:r>
    </w:p>
    <w:p>
      <w:pPr>
        <w:spacing w:after="120" w:line="271" w:lineRule="auto"/>
      </w:pPr>
      <w:r>
        <w:rPr>
          <w:rFonts w:ascii="Arial" w:hAnsi="Arial"/>
          <w:b w:val="0"/>
          <w:color w:val="252A2E"/>
          <w:sz w:val="20"/>
        </w:rPr>
        <w:t>Die folgenden Regeln können als qualitative Prüflogik für ein späteres Bewertungsraster dienen. Sie sind bewusst nicht als endgültige Schwellenwerte formuliert. Schwellenwerte müssen mit Daten, Pilotprojekten und politischer Beratung weiterentwickelt werden.</w:t>
      </w:r>
    </w:p>
    <w:p>
      <w:pPr>
        <w:pStyle w:val="ListBullet"/>
        <w:spacing w:after="40"/>
      </w:pPr>
      <w:r>
        <w:rPr>
          <w:rFonts w:ascii="Arial" w:hAnsi="Arial"/>
          <w:color w:val="252A2E"/>
          <w:sz w:val="20"/>
        </w:rPr>
        <w:t>Bezahlbarkeit wird nicht allein an der Kaltmiete gemessen, sondern an der realen Warmmietenbelastung im Verhältnis zum Einkommen und zur Haushaltsstruktur.</w:t>
      </w:r>
    </w:p>
    <w:p>
      <w:pPr>
        <w:pStyle w:val="ListBullet"/>
        <w:spacing w:after="40"/>
      </w:pPr>
      <w:r>
        <w:rPr>
          <w:rFonts w:ascii="Arial" w:hAnsi="Arial"/>
          <w:color w:val="252A2E"/>
          <w:sz w:val="20"/>
        </w:rPr>
        <w:t>Sanierung wirkt nur dann vollständig positiv, wenn sie Klimawirkung, Nebenkosten, Wohnqualität und soziale Stabilität gemeinsam verbessert.</w:t>
      </w:r>
    </w:p>
    <w:p>
      <w:pPr>
        <w:pStyle w:val="ListBullet"/>
        <w:spacing w:after="40"/>
      </w:pPr>
      <w:r>
        <w:rPr>
          <w:rFonts w:ascii="Arial" w:hAnsi="Arial"/>
          <w:color w:val="252A2E"/>
          <w:sz w:val="20"/>
        </w:rPr>
        <w:t>Verdrängung ist ein kritisches Feld. Wird ein Quartier durch Sanierung oder Mietstrategie sozial entkoppelt, kann die Energieverbesserung diesen Schaden nicht vollständig kompensieren.</w:t>
      </w:r>
    </w:p>
    <w:p>
      <w:pPr>
        <w:pStyle w:val="ListBullet"/>
        <w:spacing w:after="40"/>
      </w:pPr>
      <w:r>
        <w:rPr>
          <w:rFonts w:ascii="Arial" w:hAnsi="Arial"/>
          <w:color w:val="252A2E"/>
          <w:sz w:val="20"/>
        </w:rPr>
        <w:t>Leerstand wird nach Ursache, Dauer, Marktlage und Abhilfeplan bewertet. Nicht jeder Leerstand ist Spekulation; aber spekulativer Leerstand in angespannten Märkten ist negative Wirkung.</w:t>
      </w:r>
    </w:p>
    <w:p>
      <w:pPr>
        <w:pStyle w:val="ListBullet"/>
        <w:spacing w:after="40"/>
      </w:pPr>
      <w:r>
        <w:rPr>
          <w:rFonts w:ascii="Arial" w:hAnsi="Arial"/>
          <w:color w:val="252A2E"/>
          <w:sz w:val="20"/>
        </w:rPr>
        <w:t>Transparenz ist ein Wirkungsfaktor: Unklare Eigentumsstrukturen, nicht nachvollziehbare Nebenkosten und fehlende Beteiligung erhöhen Misstrauen und Konfliktkosten.</w:t>
      </w:r>
    </w:p>
    <w:p>
      <w:pPr>
        <w:pStyle w:val="ListBullet"/>
        <w:spacing w:after="40"/>
      </w:pPr>
      <w:r>
        <w:rPr>
          <w:rFonts w:ascii="Arial" w:hAnsi="Arial"/>
          <w:color w:val="252A2E"/>
          <w:sz w:val="20"/>
        </w:rPr>
        <w:t>Kleinvermieter:innen brauchen vereinfachte Verfahren und Schutz vor Überforderung. Wirkungspflicht darf nicht zur bürokratischen Überlastung werden.</w:t>
      </w:r>
    </w:p>
    <w:p>
      <w:pPr>
        <w:pStyle w:val="ListBullet"/>
        <w:spacing w:after="40"/>
      </w:pPr>
      <w:r>
        <w:rPr>
          <w:rFonts w:ascii="Arial" w:hAnsi="Arial"/>
          <w:color w:val="252A2E"/>
          <w:sz w:val="20"/>
        </w:rPr>
        <w:t>Institutionelle Portfolios müssen aufgrund ihrer Marktmacht und Skalierung strengere Transparenz- und Portfolio-Wirkungsanforderungen erfüllen.</w:t>
      </w:r>
    </w:p>
    <w:p>
      <w:pPr>
        <w:pStyle w:val="Heading1"/>
      </w:pPr>
      <w:r>
        <w:t>Anhang C – Spekulationsschutz ohne Investitionsfeindlichkeit</w:t>
      </w:r>
    </w:p>
    <w:p>
      <w:pPr>
        <w:spacing w:after="120" w:line="271" w:lineRule="auto"/>
      </w:pPr>
      <w:r>
        <w:rPr>
          <w:rFonts w:ascii="Arial" w:hAnsi="Arial"/>
          <w:b w:val="0"/>
          <w:color w:val="252A2E"/>
          <w:sz w:val="20"/>
        </w:rPr>
        <w:t>Ein häufiger Einwand gegen wohnungspolitische Eingriffe lautet, dass sie Investitionen bremsen könnten. Die Wirkungsökonomie antwortet darauf nicht mit pauschaler Regulierung, sondern mit einer präziseren Unterscheidung: Investitionen in positive Wohnwirkung sollen erleichtert werden; Investitionen in Knappheitsrendite sollen ihren Vorteil verlieren.</w:t>
      </w:r>
    </w:p>
    <w:p>
      <w:pPr>
        <w:spacing w:after="120" w:line="271" w:lineRule="auto"/>
      </w:pPr>
      <w:r>
        <w:rPr>
          <w:rFonts w:ascii="Arial" w:hAnsi="Arial"/>
          <w:b w:val="0"/>
          <w:color w:val="252A2E"/>
          <w:sz w:val="20"/>
        </w:rPr>
        <w:t>Das bedeutet: Wer baut, saniert, bezahlbar vermietet, Energie- und Gesundheitsqualität verbessert oder Quartiere stabilisiert, erhält bessere Bedingungen. Wer Boden hortet, Wohnraum leer hält, Mieter:innen verdrängt oder Sanierung als Entmietungsinstrument nutzt, verliert Vorteile.</w:t>
      </w:r>
    </w:p>
    <w:tbl>
      <w:tblPr>
        <w:tblStyle w:val="TableGrid"/>
        <w:tblW w:type="auto" w:w="0"/>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Muster</w:t>
            </w:r>
          </w:p>
        </w:tc>
        <w:tc>
          <w:tcPr>
            <w:tcW w:type="dxa" w:w="3360"/>
            <w:shd w:fill="001D30"/>
          </w:tcPr>
          <w:p>
            <w:r>
              <w:rPr>
                <w:rFonts w:ascii="Arial" w:hAnsi="Arial"/>
                <w:b/>
                <w:color w:val="FFFFFF"/>
                <w:sz w:val="16"/>
              </w:rPr>
              <w:t>Investitionswirkung</w:t>
            </w:r>
          </w:p>
        </w:tc>
        <w:tc>
          <w:tcPr>
            <w:tcW w:type="dxa" w:w="3360"/>
            <w:shd w:fill="001D30"/>
          </w:tcPr>
          <w:p>
            <w:r>
              <w:rPr>
                <w:rFonts w:ascii="Arial" w:hAnsi="Arial"/>
                <w:b/>
                <w:color w:val="FFFFFF"/>
                <w:sz w:val="16"/>
              </w:rPr>
              <w:t>WÖk-Reaktion</w:t>
            </w:r>
          </w:p>
        </w:tc>
      </w:tr>
      <w:tr>
        <w:tc>
          <w:tcPr>
            <w:tcW w:type="dxa" w:w="3360"/>
          </w:tcPr>
          <w:p>
            <w:r>
              <w:rPr>
                <w:rFonts w:ascii="Arial" w:hAnsi="Arial"/>
                <w:color w:val="252A2E"/>
                <w:sz w:val="16"/>
              </w:rPr>
              <w:t>Bestandserhalt mit Sanierungsplan</w:t>
            </w:r>
          </w:p>
        </w:tc>
        <w:tc>
          <w:tcPr>
            <w:tcW w:type="dxa" w:w="3360"/>
          </w:tcPr>
          <w:p>
            <w:r>
              <w:rPr>
                <w:rFonts w:ascii="Arial" w:hAnsi="Arial"/>
                <w:color w:val="252A2E"/>
                <w:sz w:val="16"/>
              </w:rPr>
              <w:t>positiv</w:t>
            </w:r>
          </w:p>
        </w:tc>
        <w:tc>
          <w:tcPr>
            <w:tcW w:type="dxa" w:w="3360"/>
          </w:tcPr>
          <w:p>
            <w:r>
              <w:rPr>
                <w:rFonts w:ascii="Arial" w:hAnsi="Arial"/>
                <w:color w:val="252A2E"/>
                <w:sz w:val="16"/>
              </w:rPr>
              <w:t>Förderung, Steuerbonus, Kapitalzugang</w:t>
            </w:r>
          </w:p>
        </w:tc>
      </w:tr>
      <w:tr>
        <w:tc>
          <w:tcPr>
            <w:tcW w:type="dxa" w:w="3360"/>
          </w:tcPr>
          <w:p>
            <w:r>
              <w:rPr>
                <w:rFonts w:ascii="Arial" w:hAnsi="Arial"/>
                <w:color w:val="252A2E"/>
                <w:sz w:val="16"/>
              </w:rPr>
              <w:t>Warmmietenneutrale energetische Sanierung</w:t>
            </w:r>
          </w:p>
        </w:tc>
        <w:tc>
          <w:tcPr>
            <w:tcW w:type="dxa" w:w="3360"/>
          </w:tcPr>
          <w:p>
            <w:r>
              <w:rPr>
                <w:rFonts w:ascii="Arial" w:hAnsi="Arial"/>
                <w:color w:val="252A2E"/>
                <w:sz w:val="16"/>
              </w:rPr>
              <w:t>positiv</w:t>
            </w:r>
          </w:p>
        </w:tc>
        <w:tc>
          <w:tcPr>
            <w:tcW w:type="dxa" w:w="3360"/>
          </w:tcPr>
          <w:p>
            <w:r>
              <w:rPr>
                <w:rFonts w:ascii="Arial" w:hAnsi="Arial"/>
                <w:color w:val="252A2E"/>
                <w:sz w:val="16"/>
              </w:rPr>
              <w:t>Bonus, KfW-/Förderanschluss, WIX-Aufwertung</w:t>
            </w:r>
          </w:p>
        </w:tc>
      </w:tr>
      <w:tr>
        <w:tc>
          <w:tcPr>
            <w:tcW w:type="dxa" w:w="3360"/>
          </w:tcPr>
          <w:p>
            <w:r>
              <w:rPr>
                <w:rFonts w:ascii="Arial" w:hAnsi="Arial"/>
                <w:color w:val="252A2E"/>
                <w:sz w:val="16"/>
              </w:rPr>
              <w:t>Neubau im Bedarfskorridor mit Quartiersbezug</w:t>
            </w:r>
          </w:p>
        </w:tc>
        <w:tc>
          <w:tcPr>
            <w:tcW w:type="dxa" w:w="3360"/>
          </w:tcPr>
          <w:p>
            <w:r>
              <w:rPr>
                <w:rFonts w:ascii="Arial" w:hAnsi="Arial"/>
                <w:color w:val="252A2E"/>
                <w:sz w:val="16"/>
              </w:rPr>
              <w:t>positiv</w:t>
            </w:r>
          </w:p>
        </w:tc>
        <w:tc>
          <w:tcPr>
            <w:tcW w:type="dxa" w:w="3360"/>
          </w:tcPr>
          <w:p>
            <w:r>
              <w:rPr>
                <w:rFonts w:ascii="Arial" w:hAnsi="Arial"/>
                <w:color w:val="252A2E"/>
                <w:sz w:val="16"/>
              </w:rPr>
              <w:t>planungs- und förderpolitischer Vorrang</w:t>
            </w:r>
          </w:p>
        </w:tc>
      </w:tr>
      <w:tr>
        <w:tc>
          <w:tcPr>
            <w:tcW w:type="dxa" w:w="3360"/>
          </w:tcPr>
          <w:p>
            <w:r>
              <w:rPr>
                <w:rFonts w:ascii="Arial" w:hAnsi="Arial"/>
                <w:color w:val="252A2E"/>
                <w:sz w:val="16"/>
              </w:rPr>
              <w:t>Bodenhortung</w:t>
            </w:r>
          </w:p>
        </w:tc>
        <w:tc>
          <w:tcPr>
            <w:tcW w:type="dxa" w:w="3360"/>
          </w:tcPr>
          <w:p>
            <w:r>
              <w:rPr>
                <w:rFonts w:ascii="Arial" w:hAnsi="Arial"/>
                <w:color w:val="252A2E"/>
                <w:sz w:val="16"/>
              </w:rPr>
              <w:t>negativ</w:t>
            </w:r>
          </w:p>
        </w:tc>
        <w:tc>
          <w:tcPr>
            <w:tcW w:type="dxa" w:w="3360"/>
          </w:tcPr>
          <w:p>
            <w:r>
              <w:rPr>
                <w:rFonts w:ascii="Arial" w:hAnsi="Arial"/>
                <w:color w:val="252A2E"/>
                <w:sz w:val="16"/>
              </w:rPr>
              <w:t>Grundsteuer-C-Anschluss, Aktivierungsdruck</w:t>
            </w:r>
          </w:p>
        </w:tc>
      </w:tr>
      <w:tr>
        <w:tc>
          <w:tcPr>
            <w:tcW w:type="dxa" w:w="3360"/>
          </w:tcPr>
          <w:p>
            <w:r>
              <w:rPr>
                <w:rFonts w:ascii="Arial" w:hAnsi="Arial"/>
                <w:color w:val="252A2E"/>
                <w:sz w:val="16"/>
              </w:rPr>
              <w:t>Spekulativer Leerstand</w:t>
            </w:r>
          </w:p>
        </w:tc>
        <w:tc>
          <w:tcPr>
            <w:tcW w:type="dxa" w:w="3360"/>
          </w:tcPr>
          <w:p>
            <w:r>
              <w:rPr>
                <w:rFonts w:ascii="Arial" w:hAnsi="Arial"/>
                <w:color w:val="252A2E"/>
                <w:sz w:val="16"/>
              </w:rPr>
              <w:t>negativ</w:t>
            </w:r>
          </w:p>
        </w:tc>
        <w:tc>
          <w:tcPr>
            <w:tcW w:type="dxa" w:w="3360"/>
          </w:tcPr>
          <w:p>
            <w:r>
              <w:rPr>
                <w:rFonts w:ascii="Arial" w:hAnsi="Arial"/>
                <w:color w:val="252A2E"/>
                <w:sz w:val="16"/>
              </w:rPr>
              <w:t>Leerstandsmalus, Zweckentfremdungsprüfung</w:t>
            </w:r>
          </w:p>
        </w:tc>
      </w:tr>
      <w:tr>
        <w:tc>
          <w:tcPr>
            <w:tcW w:type="dxa" w:w="3360"/>
          </w:tcPr>
          <w:p>
            <w:r>
              <w:rPr>
                <w:rFonts w:ascii="Arial" w:hAnsi="Arial"/>
                <w:color w:val="252A2E"/>
                <w:sz w:val="16"/>
              </w:rPr>
              <w:t>Luxussanierung mit Verdrängung</w:t>
            </w:r>
          </w:p>
        </w:tc>
        <w:tc>
          <w:tcPr>
            <w:tcW w:type="dxa" w:w="3360"/>
          </w:tcPr>
          <w:p>
            <w:r>
              <w:rPr>
                <w:rFonts w:ascii="Arial" w:hAnsi="Arial"/>
                <w:color w:val="252A2E"/>
                <w:sz w:val="16"/>
              </w:rPr>
              <w:t>negativ trotz möglicher Energieverbesserung</w:t>
            </w:r>
          </w:p>
        </w:tc>
        <w:tc>
          <w:tcPr>
            <w:tcW w:type="dxa" w:w="3360"/>
          </w:tcPr>
          <w:p>
            <w:r>
              <w:rPr>
                <w:rFonts w:ascii="Arial" w:hAnsi="Arial"/>
                <w:color w:val="252A2E"/>
                <w:sz w:val="16"/>
              </w:rPr>
              <w:t>Schutzregel, Malus, Sozialfahrplan</w:t>
            </w:r>
          </w:p>
        </w:tc>
      </w:tr>
      <w:tr>
        <w:tc>
          <w:tcPr>
            <w:tcW w:type="dxa" w:w="3360"/>
          </w:tcPr>
          <w:p>
            <w:r>
              <w:rPr>
                <w:rFonts w:ascii="Arial" w:hAnsi="Arial"/>
                <w:color w:val="252A2E"/>
                <w:sz w:val="16"/>
              </w:rPr>
              <w:t>Intransparente Eigentümerketten</w:t>
            </w:r>
          </w:p>
        </w:tc>
        <w:tc>
          <w:tcPr>
            <w:tcW w:type="dxa" w:w="3360"/>
          </w:tcPr>
          <w:p>
            <w:r>
              <w:rPr>
                <w:rFonts w:ascii="Arial" w:hAnsi="Arial"/>
                <w:color w:val="252A2E"/>
                <w:sz w:val="16"/>
              </w:rPr>
              <w:t>risikoreich</w:t>
            </w:r>
          </w:p>
        </w:tc>
        <w:tc>
          <w:tcPr>
            <w:tcW w:type="dxa" w:w="3360"/>
          </w:tcPr>
          <w:p>
            <w:r>
              <w:rPr>
                <w:rFonts w:ascii="Arial" w:hAnsi="Arial"/>
                <w:color w:val="252A2E"/>
                <w:sz w:val="16"/>
              </w:rPr>
              <w:t>Transparenzpflicht, Governance-Abzug</w:t>
            </w:r>
          </w:p>
        </w:tc>
      </w:tr>
    </w:tbl>
    <w:p/>
    <w:p>
      <w:pPr>
        <w:pStyle w:val="Heading1"/>
      </w:pPr>
      <w:r>
        <w:t>Anhang D – Stranded-Asset-Frühwarnprofil</w:t>
      </w:r>
    </w:p>
    <w:p>
      <w:pPr>
        <w:spacing w:after="120" w:line="271" w:lineRule="auto"/>
      </w:pPr>
      <w:r>
        <w:rPr>
          <w:rFonts w:ascii="Arial" w:hAnsi="Arial"/>
          <w:b w:val="0"/>
          <w:color w:val="252A2E"/>
          <w:sz w:val="20"/>
        </w:rPr>
        <w:t>Das Stranded-Asset-Frühwarnprofil kombiniert ökologische, soziale, rechtliche und finanzielle Risiken. Ein Gebäude wird nicht erst dann kritisch, wenn es objektiv an Wert verloren hat. Kritisch ist bereits eine wachsende Lücke zwischen aktuellem Zustand und zukünftig erforderlicher Wohnwirkung.</w:t>
      </w:r>
    </w:p>
    <w:tbl>
      <w:tblPr>
        <w:tblStyle w:val="TableGrid"/>
        <w:tblW w:type="auto" w:w="0"/>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Risikodimension</w:t>
            </w:r>
          </w:p>
        </w:tc>
        <w:tc>
          <w:tcPr>
            <w:tcW w:type="dxa" w:w="3360"/>
            <w:shd w:fill="001D30"/>
          </w:tcPr>
          <w:p>
            <w:r>
              <w:rPr>
                <w:rFonts w:ascii="Arial" w:hAnsi="Arial"/>
                <w:b/>
                <w:color w:val="FFFFFF"/>
                <w:sz w:val="16"/>
              </w:rPr>
              <w:t>Frühwarnindikator</w:t>
            </w:r>
          </w:p>
        </w:tc>
        <w:tc>
          <w:tcPr>
            <w:tcW w:type="dxa" w:w="3360"/>
            <w:shd w:fill="001D30"/>
          </w:tcPr>
          <w:p>
            <w:r>
              <w:rPr>
                <w:rFonts w:ascii="Arial" w:hAnsi="Arial"/>
                <w:b/>
                <w:color w:val="FFFFFF"/>
                <w:sz w:val="16"/>
              </w:rPr>
              <w:t>Mögliche Gegenmaßnahme</w:t>
            </w:r>
          </w:p>
        </w:tc>
      </w:tr>
      <w:tr>
        <w:tc>
          <w:tcPr>
            <w:tcW w:type="dxa" w:w="3360"/>
          </w:tcPr>
          <w:p>
            <w:r>
              <w:rPr>
                <w:rFonts w:ascii="Arial" w:hAnsi="Arial"/>
                <w:color w:val="252A2E"/>
                <w:sz w:val="16"/>
              </w:rPr>
              <w:t>Klima / Energie</w:t>
            </w:r>
          </w:p>
        </w:tc>
        <w:tc>
          <w:tcPr>
            <w:tcW w:type="dxa" w:w="3360"/>
          </w:tcPr>
          <w:p>
            <w:r>
              <w:rPr>
                <w:rFonts w:ascii="Arial" w:hAnsi="Arial"/>
                <w:color w:val="252A2E"/>
                <w:sz w:val="16"/>
              </w:rPr>
              <w:t>hoher Endenergieverbrauch, fossile Heizung, steigende CO2-Kosten</w:t>
            </w:r>
          </w:p>
        </w:tc>
        <w:tc>
          <w:tcPr>
            <w:tcW w:type="dxa" w:w="3360"/>
          </w:tcPr>
          <w:p>
            <w:r>
              <w:rPr>
                <w:rFonts w:ascii="Arial" w:hAnsi="Arial"/>
                <w:color w:val="252A2E"/>
                <w:sz w:val="16"/>
              </w:rPr>
              <w:t>Sanierungsfahrplan, erneuerbare Wärme, Gebäudehülle</w:t>
            </w:r>
          </w:p>
        </w:tc>
      </w:tr>
      <w:tr>
        <w:tc>
          <w:tcPr>
            <w:tcW w:type="dxa" w:w="3360"/>
          </w:tcPr>
          <w:p>
            <w:r>
              <w:rPr>
                <w:rFonts w:ascii="Arial" w:hAnsi="Arial"/>
                <w:color w:val="252A2E"/>
                <w:sz w:val="16"/>
              </w:rPr>
              <w:t>Finanzierung</w:t>
            </w:r>
          </w:p>
        </w:tc>
        <w:tc>
          <w:tcPr>
            <w:tcW w:type="dxa" w:w="3360"/>
          </w:tcPr>
          <w:p>
            <w:r>
              <w:rPr>
                <w:rFonts w:ascii="Arial" w:hAnsi="Arial"/>
                <w:color w:val="252A2E"/>
                <w:sz w:val="16"/>
              </w:rPr>
              <w:t>Taxonomie- oder CRREM-Misalignment, höhere Risikozuschläge</w:t>
            </w:r>
          </w:p>
        </w:tc>
        <w:tc>
          <w:tcPr>
            <w:tcW w:type="dxa" w:w="3360"/>
          </w:tcPr>
          <w:p>
            <w:r>
              <w:rPr>
                <w:rFonts w:ascii="Arial" w:hAnsi="Arial"/>
                <w:color w:val="252A2E"/>
                <w:sz w:val="16"/>
              </w:rPr>
              <w:t>Wirkungsportfolio, Sanierungs-Capex, Fördermittel</w:t>
            </w:r>
          </w:p>
        </w:tc>
      </w:tr>
      <w:tr>
        <w:tc>
          <w:tcPr>
            <w:tcW w:type="dxa" w:w="3360"/>
          </w:tcPr>
          <w:p>
            <w:r>
              <w:rPr>
                <w:rFonts w:ascii="Arial" w:hAnsi="Arial"/>
                <w:color w:val="252A2E"/>
                <w:sz w:val="16"/>
              </w:rPr>
              <w:t>Soziales</w:t>
            </w:r>
          </w:p>
        </w:tc>
        <w:tc>
          <w:tcPr>
            <w:tcW w:type="dxa" w:w="3360"/>
          </w:tcPr>
          <w:p>
            <w:r>
              <w:rPr>
                <w:rFonts w:ascii="Arial" w:hAnsi="Arial"/>
                <w:color w:val="252A2E"/>
                <w:sz w:val="16"/>
              </w:rPr>
              <w:t>hohe Mietbelastung, Kündigungen, Verdrängungsdynamik</w:t>
            </w:r>
          </w:p>
        </w:tc>
        <w:tc>
          <w:tcPr>
            <w:tcW w:type="dxa" w:w="3360"/>
          </w:tcPr>
          <w:p>
            <w:r>
              <w:rPr>
                <w:rFonts w:ascii="Arial" w:hAnsi="Arial"/>
                <w:color w:val="252A2E"/>
                <w:sz w:val="16"/>
              </w:rPr>
              <w:t>Warmmietenschutz, Beteiligung, Sozialkorridor</w:t>
            </w:r>
          </w:p>
        </w:tc>
      </w:tr>
      <w:tr>
        <w:tc>
          <w:tcPr>
            <w:tcW w:type="dxa" w:w="3360"/>
          </w:tcPr>
          <w:p>
            <w:r>
              <w:rPr>
                <w:rFonts w:ascii="Arial" w:hAnsi="Arial"/>
                <w:color w:val="252A2E"/>
                <w:sz w:val="16"/>
              </w:rPr>
              <w:t>Gesundheit</w:t>
            </w:r>
          </w:p>
        </w:tc>
        <w:tc>
          <w:tcPr>
            <w:tcW w:type="dxa" w:w="3360"/>
          </w:tcPr>
          <w:p>
            <w:r>
              <w:rPr>
                <w:rFonts w:ascii="Arial" w:hAnsi="Arial"/>
                <w:color w:val="252A2E"/>
                <w:sz w:val="16"/>
              </w:rPr>
              <w:t>Schimmel, Hitze, schlechte Luft, Lärm</w:t>
            </w:r>
          </w:p>
        </w:tc>
        <w:tc>
          <w:tcPr>
            <w:tcW w:type="dxa" w:w="3360"/>
          </w:tcPr>
          <w:p>
            <w:r>
              <w:rPr>
                <w:rFonts w:ascii="Arial" w:hAnsi="Arial"/>
                <w:color w:val="252A2E"/>
                <w:sz w:val="16"/>
              </w:rPr>
              <w:t>Gebäudequalität, Lüftung, Hitzeschutz, Instandhaltung</w:t>
            </w:r>
          </w:p>
        </w:tc>
      </w:tr>
      <w:tr>
        <w:tc>
          <w:tcPr>
            <w:tcW w:type="dxa" w:w="3360"/>
          </w:tcPr>
          <w:p>
            <w:r>
              <w:rPr>
                <w:rFonts w:ascii="Arial" w:hAnsi="Arial"/>
                <w:color w:val="252A2E"/>
                <w:sz w:val="16"/>
              </w:rPr>
              <w:t>Governance</w:t>
            </w:r>
          </w:p>
        </w:tc>
        <w:tc>
          <w:tcPr>
            <w:tcW w:type="dxa" w:w="3360"/>
          </w:tcPr>
          <w:p>
            <w:r>
              <w:rPr>
                <w:rFonts w:ascii="Arial" w:hAnsi="Arial"/>
                <w:color w:val="252A2E"/>
                <w:sz w:val="16"/>
              </w:rPr>
              <w:t>unklare Eigentumsstruktur, Datenlücken</w:t>
            </w:r>
          </w:p>
        </w:tc>
        <w:tc>
          <w:tcPr>
            <w:tcW w:type="dxa" w:w="3360"/>
          </w:tcPr>
          <w:p>
            <w:r>
              <w:rPr>
                <w:rFonts w:ascii="Arial" w:hAnsi="Arial"/>
                <w:color w:val="252A2E"/>
                <w:sz w:val="16"/>
              </w:rPr>
              <w:t>Transparenz, Audit, Datenqualitätsplan</w:t>
            </w:r>
          </w:p>
        </w:tc>
      </w:tr>
      <w:tr>
        <w:tc>
          <w:tcPr>
            <w:tcW w:type="dxa" w:w="3360"/>
          </w:tcPr>
          <w:p>
            <w:r>
              <w:rPr>
                <w:rFonts w:ascii="Arial" w:hAnsi="Arial"/>
                <w:color w:val="252A2E"/>
                <w:sz w:val="16"/>
              </w:rPr>
              <w:t>Quartier</w:t>
            </w:r>
          </w:p>
        </w:tc>
        <w:tc>
          <w:tcPr>
            <w:tcW w:type="dxa" w:w="3360"/>
          </w:tcPr>
          <w:p>
            <w:r>
              <w:rPr>
                <w:rFonts w:ascii="Arial" w:hAnsi="Arial"/>
                <w:color w:val="252A2E"/>
                <w:sz w:val="16"/>
              </w:rPr>
              <w:t>Entmischung, fehlende Versorgung, Isolation</w:t>
            </w:r>
          </w:p>
        </w:tc>
        <w:tc>
          <w:tcPr>
            <w:tcW w:type="dxa" w:w="3360"/>
          </w:tcPr>
          <w:p>
            <w:r>
              <w:rPr>
                <w:rFonts w:ascii="Arial" w:hAnsi="Arial"/>
                <w:color w:val="252A2E"/>
                <w:sz w:val="16"/>
              </w:rPr>
              <w:t>Quartiersinvestitionen, soziale Infrastruktur, Kommune</w:t>
            </w:r>
          </w:p>
        </w:tc>
      </w:tr>
    </w:tbl>
    <w:p/>
    <w:p>
      <w:pPr>
        <w:pStyle w:val="Heading1"/>
      </w:pPr>
      <w:r>
        <w:t>Anhang E – Buch- und Website-Anker</w:t>
      </w:r>
    </w:p>
    <w:p>
      <w:pPr>
        <w:spacing w:after="120" w:line="271" w:lineRule="auto"/>
      </w:pPr>
      <w:r>
        <w:rPr>
          <w:rFonts w:ascii="Arial" w:hAnsi="Arial"/>
          <w:b w:val="0"/>
          <w:color w:val="252A2E"/>
          <w:sz w:val="20"/>
        </w:rPr>
        <w:t>Die Online-Version soll auf bestehende WÖk-Inhalte verweisen: Funktionsweise, Wirkungsfelder, Wohnen &amp; Stadt, Leitbild Mensch-Planet-Demokratie, Wirkung statt Kapital, WÖk-IDs, T-SROI, Wirkungsrat, Wirkungshaushalt, SDG-/SDG+-Referenzrahmen und Glossar. Im Buch sind besonders die Abschnitte zu Kapital und Wohnen, Wohnen als Wirkungsfaktor, Gebäude- und Quartierswirkung, Wohnungsmarkt ohne Spekulationslogik, Kapitalmärkte/Fonds und Wirkungskapital relevant.</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252A2E"/>
        <w:sz w:val="16"/>
      </w:rPr>
      <w:t>Wirkung statt Kapital · Für Mensch, Planet und Demokratie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A2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01D3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01D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01D30"/>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Georgia" w:hAnsi="Georgia"/>
      <w:b/>
      <w:bCs/>
      <w:i/>
      <w:iCs/>
      <w:color w:val="001D30"/>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oteWoeK">
    <w:name w:val="QuoteWoeK"/>
    <w:pPr>
      <w:spacing w:before="160" w:after="160"/>
      <w:ind w:left="360" w:right="360"/>
    </w:pPr>
    <w:rPr>
      <w:rFonts w:ascii="Georgia" w:hAnsi="Georgia"/>
      <w:i/>
      <w:color w:val="001D3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