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oek_signet.png"/>
                    <pic:cNvPicPr/>
                  </pic:nvPicPr>
                  <pic:blipFill>
                    <a:blip r:embed="rId11"/>
                    <a:stretch>
                      <a:fillRect/>
                    </a:stretch>
                  </pic:blipFill>
                  <pic:spPr>
                    <a:xfrm>
                      <a:off x="0" y="0"/>
                      <a:ext cx="914400" cy="914400"/>
                    </a:xfrm>
                    <a:prstGeom prst="rect"/>
                  </pic:spPr>
                </pic:pic>
              </a:graphicData>
            </a:graphic>
          </wp:inline>
        </w:drawing>
      </w:r>
    </w:p>
    <w:p>
      <w:pPr>
        <w:jc w:val="center"/>
      </w:pPr>
      <w:r>
        <w:rPr>
          <w:rFonts w:ascii="Georgia" w:hAnsi="Georgia"/>
          <w:b/>
          <w:color w:val="001D30"/>
          <w:sz w:val="28"/>
        </w:rPr>
        <w:t>WIRKUNGSÖKONOMIE</w:t>
      </w:r>
    </w:p>
    <w:p>
      <w:pPr>
        <w:jc w:val="center"/>
      </w:pPr>
      <w:r>
        <w:rPr>
          <w:rFonts w:ascii="Arial" w:hAnsi="Arial"/>
          <w:b/>
          <w:color w:val="C89B3C"/>
          <w:sz w:val="16"/>
        </w:rPr>
        <w:t>DOSSIER</w:t>
      </w:r>
    </w:p>
    <w:p>
      <w:pPr>
        <w:jc w:val="center"/>
      </w:pPr>
      <w:r>
        <w:rPr>
          <w:rFonts w:ascii="Georgia" w:hAnsi="Georgia"/>
          <w:b/>
          <w:color w:val="001D30"/>
          <w:sz w:val="50"/>
        </w:rPr>
        <w:t>Dossier: Investor:innen und Vermieter:innen im Wohnwirkungsmarkt</w:t>
      </w:r>
    </w:p>
    <w:p>
      <w:pPr>
        <w:jc w:val="center"/>
      </w:pPr>
      <w:r>
        <w:rPr>
          <w:rFonts w:ascii="Georgia" w:hAnsi="Georgia"/>
          <w:color w:val="2E7D5C"/>
          <w:sz w:val="28"/>
        </w:rPr>
        <w:t>Beispiele, Berechnungen, Datenquellen, Anreizlogik und politische Umsetzungsoptionen</w:t>
      </w:r>
    </w:p>
    <w:p/>
    <w:p/>
    <w:tbl>
      <w:tblPr>
        <w:tblStyle w:val="TableGrid"/>
        <w:tblW w:type="auto" w:w="0"/>
        <w:jc w:val="center"/>
        <w:tblLook w:firstColumn="1" w:firstRow="1" w:lastColumn="0" w:lastRow="0" w:noHBand="0" w:noVBand="1" w:val="04A0"/>
      </w:tblPr>
      <w:tblGrid>
        <w:gridCol w:w="5040"/>
        <w:gridCol w:w="5040"/>
      </w:tblGrid>
      <w:tr>
        <w:tc>
          <w:tcPr>
            <w:tcW w:type="dxa" w:w="5040"/>
            <w:shd w:fill="F6F1E8"/>
          </w:tcPr>
          <w:p>
            <w:r>
              <w:rPr>
                <w:rFonts w:ascii="Arial" w:hAnsi="Arial"/>
                <w:b/>
                <w:color w:val="001D30"/>
                <w:sz w:val="18"/>
              </w:rPr>
              <w:t>Autorin</w:t>
            </w:r>
          </w:p>
        </w:tc>
        <w:tc>
          <w:tcPr>
            <w:tcW w:type="dxa" w:w="5040"/>
          </w:tcPr>
          <w:p>
            <w:r>
              <w:rPr>
                <w:rFonts w:ascii="Arial" w:hAnsi="Arial"/>
                <w:sz w:val="18"/>
              </w:rPr>
              <w:t>Natalie Weber</w:t>
            </w:r>
          </w:p>
        </w:tc>
      </w:tr>
      <w:tr>
        <w:tc>
          <w:tcPr>
            <w:tcW w:type="dxa" w:w="5040"/>
            <w:shd w:fill="F6F1E8"/>
          </w:tcPr>
          <w:p>
            <w:r>
              <w:rPr>
                <w:rFonts w:ascii="Arial" w:hAnsi="Arial"/>
                <w:b/>
                <w:color w:val="001D30"/>
                <w:sz w:val="18"/>
              </w:rPr>
              <w:t>Referenz</w:t>
            </w:r>
          </w:p>
        </w:tc>
        <w:tc>
          <w:tcPr>
            <w:tcW w:type="dxa" w:w="5040"/>
          </w:tcPr>
          <w:p>
            <w:r>
              <w:rPr>
                <w:rFonts w:ascii="Arial" w:hAnsi="Arial"/>
                <w:sz w:val="18"/>
              </w:rPr>
              <w:t>Wirkungsökonomie</w:t>
            </w:r>
          </w:p>
        </w:tc>
      </w:tr>
      <w:tr>
        <w:tc>
          <w:tcPr>
            <w:tcW w:type="dxa" w:w="5040"/>
            <w:shd w:fill="F6F1E8"/>
          </w:tcPr>
          <w:p>
            <w:r>
              <w:rPr>
                <w:rFonts w:ascii="Arial" w:hAnsi="Arial"/>
                <w:b/>
                <w:color w:val="001D30"/>
                <w:sz w:val="18"/>
              </w:rPr>
              <w:t>Version</w:t>
            </w:r>
          </w:p>
        </w:tc>
        <w:tc>
          <w:tcPr>
            <w:tcW w:type="dxa" w:w="5040"/>
          </w:tcPr>
          <w:p>
            <w:r>
              <w:rPr>
                <w:rFonts w:ascii="Arial" w:hAnsi="Arial"/>
                <w:sz w:val="18"/>
              </w:rPr>
              <w:t>v0.3</w:t>
            </w:r>
          </w:p>
        </w:tc>
      </w:tr>
      <w:tr>
        <w:tc>
          <w:tcPr>
            <w:tcW w:type="dxa" w:w="5040"/>
            <w:shd w:fill="F6F1E8"/>
          </w:tcPr>
          <w:p>
            <w:r>
              <w:rPr>
                <w:rFonts w:ascii="Arial" w:hAnsi="Arial"/>
                <w:b/>
                <w:color w:val="001D30"/>
                <w:sz w:val="18"/>
              </w:rPr>
              <w:t>Status</w:t>
            </w:r>
          </w:p>
        </w:tc>
        <w:tc>
          <w:tcPr>
            <w:tcW w:type="dxa" w:w="5040"/>
          </w:tcPr>
          <w:p>
            <w:r>
              <w:rPr>
                <w:rFonts w:ascii="Arial" w:hAnsi="Arial"/>
                <w:sz w:val="18"/>
              </w:rPr>
              <w:t>erweiterte öffentliche Ausarbeitung</w:t>
            </w:r>
          </w:p>
        </w:tc>
      </w:tr>
      <w:tr>
        <w:tc>
          <w:tcPr>
            <w:tcW w:type="dxa" w:w="5040"/>
            <w:shd w:fill="F6F1E8"/>
          </w:tcPr>
          <w:p>
            <w:r>
              <w:rPr>
                <w:rFonts w:ascii="Arial" w:hAnsi="Arial"/>
                <w:b/>
                <w:color w:val="001D30"/>
                <w:sz w:val="18"/>
              </w:rPr>
              <w:t>Stand</w:t>
            </w:r>
          </w:p>
        </w:tc>
        <w:tc>
          <w:tcPr>
            <w:tcW w:type="dxa" w:w="5040"/>
          </w:tcPr>
          <w:p>
            <w:r>
              <w:rPr>
                <w:rFonts w:ascii="Arial" w:hAnsi="Arial"/>
                <w:sz w:val="18"/>
              </w:rPr>
              <w:t>24. Mai 2026</w:t>
            </w:r>
          </w:p>
        </w:tc>
      </w:tr>
    </w:tbl>
    <w:p>
      <w:pPr>
        <w:pStyle w:val="QuoteWoeK"/>
        <w:jc w:val="center"/>
      </w:pPr>
      <w:r>
        <w:t>„Kapital darf im Wohnungsmarkt wirken – aber es darf Wohnen nicht ersetzen.“</w:t>
      </w:r>
    </w:p>
    <w:p>
      <w:r>
        <w:br w:type="page"/>
      </w:r>
    </w:p>
    <w:p>
      <w:pPr>
        <w:pStyle w:val="Heading1"/>
      </w:pPr>
      <w:r>
        <w:t>Kurzprofil</w:t>
      </w:r>
    </w:p>
    <w:tbl>
      <w:tblPr>
        <w:tblStyle w:val="TableGrid"/>
        <w:tblW w:type="auto" w:w="0"/>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Metadatum</w:t>
            </w:r>
          </w:p>
        </w:tc>
        <w:tc>
          <w:tcPr>
            <w:tcW w:type="dxa" w:w="5040"/>
            <w:shd w:fill="001D30"/>
          </w:tcPr>
          <w:p>
            <w:r>
              <w:rPr>
                <w:rFonts w:ascii="Arial" w:hAnsi="Arial"/>
                <w:b/>
                <w:color w:val="FFFFFF"/>
                <w:sz w:val="16"/>
              </w:rPr>
              <w:t>Angabe</w:t>
            </w:r>
          </w:p>
        </w:tc>
      </w:tr>
      <w:tr>
        <w:tc>
          <w:tcPr>
            <w:tcW w:type="dxa" w:w="5040"/>
            <w:shd w:fill="F6F1E8"/>
          </w:tcPr>
          <w:p>
            <w:r>
              <w:rPr>
                <w:rFonts w:ascii="Arial" w:hAnsi="Arial"/>
                <w:b/>
                <w:color w:val="001D30"/>
                <w:sz w:val="17"/>
              </w:rPr>
              <w:t>Dokumenttyp</w:t>
            </w:r>
          </w:p>
        </w:tc>
        <w:tc>
          <w:tcPr>
            <w:tcW w:type="dxa" w:w="5040"/>
          </w:tcPr>
          <w:p>
            <w:r>
              <w:rPr>
                <w:rFonts w:ascii="Arial" w:hAnsi="Arial"/>
                <w:sz w:val="17"/>
              </w:rPr>
              <w:t>Öffentliches Dossier</w:t>
            </w:r>
          </w:p>
        </w:tc>
      </w:tr>
      <w:tr>
        <w:tc>
          <w:tcPr>
            <w:tcW w:type="dxa" w:w="5040"/>
            <w:shd w:fill="F6F1E8"/>
          </w:tcPr>
          <w:p>
            <w:r>
              <w:rPr>
                <w:rFonts w:ascii="Arial" w:hAnsi="Arial"/>
                <w:b/>
                <w:color w:val="001D30"/>
                <w:sz w:val="17"/>
              </w:rPr>
              <w:t>Zugehöriges Portal</w:t>
            </w:r>
          </w:p>
        </w:tc>
        <w:tc>
          <w:tcPr>
            <w:tcW w:type="dxa" w:w="5040"/>
          </w:tcPr>
          <w:p>
            <w:r>
              <w:rPr>
                <w:rFonts w:ascii="Arial" w:hAnsi="Arial"/>
                <w:sz w:val="17"/>
              </w:rPr>
              <w:t>Wohnen &amp; Stadt</w:t>
            </w:r>
          </w:p>
        </w:tc>
      </w:tr>
      <w:tr>
        <w:tc>
          <w:tcPr>
            <w:tcW w:type="dxa" w:w="5040"/>
            <w:shd w:fill="F6F1E8"/>
          </w:tcPr>
          <w:p>
            <w:r>
              <w:rPr>
                <w:rFonts w:ascii="Arial" w:hAnsi="Arial"/>
                <w:b/>
                <w:color w:val="001D30"/>
                <w:sz w:val="17"/>
              </w:rPr>
              <w:t>Unterbereich</w:t>
            </w:r>
          </w:p>
        </w:tc>
        <w:tc>
          <w:tcPr>
            <w:tcW w:type="dxa" w:w="5040"/>
          </w:tcPr>
          <w:p>
            <w:r>
              <w:rPr>
                <w:rFonts w:ascii="Arial" w:hAnsi="Arial"/>
                <w:sz w:val="17"/>
              </w:rPr>
              <w:t>Investor:innen, Vermieter:innen, Spekulationsschutz, Stranded Assets</w:t>
            </w:r>
          </w:p>
        </w:tc>
      </w:tr>
      <w:tr>
        <w:tc>
          <w:tcPr>
            <w:tcW w:type="dxa" w:w="5040"/>
            <w:shd w:fill="F6F1E8"/>
          </w:tcPr>
          <w:p>
            <w:r>
              <w:rPr>
                <w:rFonts w:ascii="Arial" w:hAnsi="Arial"/>
                <w:b/>
                <w:color w:val="001D30"/>
                <w:sz w:val="17"/>
              </w:rPr>
              <w:t>Berechnungen</w:t>
            </w:r>
          </w:p>
        </w:tc>
        <w:tc>
          <w:tcPr>
            <w:tcW w:type="dxa" w:w="5040"/>
          </w:tcPr>
          <w:p>
            <w:r>
              <w:rPr>
                <w:rFonts w:ascii="Arial" w:hAnsi="Arial"/>
                <w:sz w:val="17"/>
              </w:rPr>
              <w:t>Modellhafte Arbeitsrechnungen v0.1; nicht amtlich</w:t>
            </w:r>
          </w:p>
        </w:tc>
      </w:tr>
      <w:tr>
        <w:tc>
          <w:tcPr>
            <w:tcW w:type="dxa" w:w="5040"/>
            <w:shd w:fill="F6F1E8"/>
          </w:tcPr>
          <w:p>
            <w:r>
              <w:rPr>
                <w:rFonts w:ascii="Arial" w:hAnsi="Arial"/>
                <w:b/>
                <w:color w:val="001D30"/>
                <w:sz w:val="17"/>
              </w:rPr>
              <w:t>Öffentlichkeit</w:t>
            </w:r>
          </w:p>
        </w:tc>
        <w:tc>
          <w:tcPr>
            <w:tcW w:type="dxa" w:w="5040"/>
          </w:tcPr>
          <w:p>
            <w:r>
              <w:rPr>
                <w:rFonts w:ascii="Arial" w:hAnsi="Arial"/>
                <w:sz w:val="17"/>
              </w:rPr>
              <w:t>Für die öffentliche Website bereinigt</w:t>
            </w:r>
          </w:p>
        </w:tc>
      </w:tr>
      <w:tr>
        <w:tc>
          <w:tcPr>
            <w:tcW w:type="dxa" w:w="5040"/>
            <w:shd w:fill="F6F1E8"/>
          </w:tcPr>
          <w:p>
            <w:r>
              <w:rPr>
                <w:rFonts w:ascii="Arial" w:hAnsi="Arial"/>
                <w:b/>
                <w:color w:val="001D30"/>
                <w:sz w:val="17"/>
              </w:rPr>
              <w:t>Hinweis</w:t>
            </w:r>
          </w:p>
        </w:tc>
        <w:tc>
          <w:tcPr>
            <w:tcW w:type="dxa" w:w="5040"/>
          </w:tcPr>
          <w:p>
            <w:r>
              <w:rPr>
                <w:rFonts w:ascii="Arial" w:hAnsi="Arial"/>
                <w:sz w:val="17"/>
              </w:rPr>
              <w:t>Keine Rechts-, Steuer-, Anlage- oder Finanzierungsberatung</w:t>
            </w:r>
          </w:p>
        </w:tc>
      </w:tr>
    </w:tbl>
    <w:p/>
    <w:p>
      <w:pPr>
        <w:pStyle w:val="Heading1"/>
      </w:pPr>
      <w:r>
        <w:t>Inhaltsübersicht</w:t>
      </w:r>
    </w:p>
    <w:p>
      <w:pPr>
        <w:spacing w:after="120" w:line="271" w:lineRule="auto"/>
      </w:pPr>
      <w:r>
        <w:rPr>
          <w:rFonts w:ascii="Arial" w:hAnsi="Arial"/>
          <w:b w:val="0"/>
          <w:color w:val="252A2E"/>
          <w:sz w:val="20"/>
        </w:rPr>
        <w:t>1. Zweck und Aufbau des Dossiers</w:t>
      </w:r>
    </w:p>
    <w:p>
      <w:pPr>
        <w:spacing w:after="120" w:line="271" w:lineRule="auto"/>
      </w:pPr>
      <w:r>
        <w:rPr>
          <w:rFonts w:ascii="Arial" w:hAnsi="Arial"/>
          <w:b w:val="0"/>
          <w:color w:val="252A2E"/>
          <w:sz w:val="20"/>
        </w:rPr>
        <w:t>2. Bewertungsmodell WIX-VI</w:t>
      </w:r>
    </w:p>
    <w:p>
      <w:pPr>
        <w:spacing w:after="120" w:line="271" w:lineRule="auto"/>
      </w:pPr>
      <w:r>
        <w:rPr>
          <w:rFonts w:ascii="Arial" w:hAnsi="Arial"/>
          <w:b w:val="0"/>
          <w:color w:val="252A2E"/>
          <w:sz w:val="20"/>
        </w:rPr>
        <w:t>3. Fallstudie 1: verantwortliche Sanierung</w:t>
      </w:r>
    </w:p>
    <w:p>
      <w:pPr>
        <w:spacing w:after="120" w:line="271" w:lineRule="auto"/>
      </w:pPr>
      <w:r>
        <w:rPr>
          <w:rFonts w:ascii="Arial" w:hAnsi="Arial"/>
          <w:b w:val="0"/>
          <w:color w:val="252A2E"/>
          <w:sz w:val="20"/>
        </w:rPr>
        <w:t>4. Fallstudie 2: Luxussanierung mit Verdrängungswirkung</w:t>
      </w:r>
    </w:p>
    <w:p>
      <w:pPr>
        <w:spacing w:after="120" w:line="271" w:lineRule="auto"/>
      </w:pPr>
      <w:r>
        <w:rPr>
          <w:rFonts w:ascii="Arial" w:hAnsi="Arial"/>
          <w:b w:val="0"/>
          <w:color w:val="252A2E"/>
          <w:sz w:val="20"/>
        </w:rPr>
        <w:t>5. Fallstudie 3: spekulativer Leerstand</w:t>
      </w:r>
    </w:p>
    <w:p>
      <w:pPr>
        <w:spacing w:after="120" w:line="271" w:lineRule="auto"/>
      </w:pPr>
      <w:r>
        <w:rPr>
          <w:rFonts w:ascii="Arial" w:hAnsi="Arial"/>
          <w:b w:val="0"/>
          <w:color w:val="252A2E"/>
          <w:sz w:val="20"/>
        </w:rPr>
        <w:t>6. Fallstudie 4: Stranded Asset im Altbestand</w:t>
      </w:r>
    </w:p>
    <w:p>
      <w:pPr>
        <w:spacing w:after="120" w:line="271" w:lineRule="auto"/>
      </w:pPr>
      <w:r>
        <w:rPr>
          <w:rFonts w:ascii="Arial" w:hAnsi="Arial"/>
          <w:b w:val="0"/>
          <w:color w:val="252A2E"/>
          <w:sz w:val="20"/>
        </w:rPr>
        <w:t>7. Fallstudie 5: Neubau mit sozialem Stranding-Risiko</w:t>
      </w:r>
    </w:p>
    <w:p>
      <w:pPr>
        <w:spacing w:after="120" w:line="271" w:lineRule="auto"/>
      </w:pPr>
      <w:r>
        <w:rPr>
          <w:rFonts w:ascii="Arial" w:hAnsi="Arial"/>
          <w:b w:val="0"/>
          <w:color w:val="252A2E"/>
          <w:sz w:val="20"/>
        </w:rPr>
        <w:t>8. Musterrechnung WIX-VI</w:t>
      </w:r>
    </w:p>
    <w:p>
      <w:pPr>
        <w:spacing w:after="120" w:line="271" w:lineRule="auto"/>
      </w:pPr>
      <w:r>
        <w:rPr>
          <w:rFonts w:ascii="Arial" w:hAnsi="Arial"/>
          <w:b w:val="0"/>
          <w:color w:val="252A2E"/>
          <w:sz w:val="20"/>
        </w:rPr>
        <w:t>9. Anreizmatrix</w:t>
      </w:r>
    </w:p>
    <w:p>
      <w:pPr>
        <w:spacing w:after="120" w:line="271" w:lineRule="auto"/>
      </w:pPr>
      <w:r>
        <w:rPr>
          <w:rFonts w:ascii="Arial" w:hAnsi="Arial"/>
          <w:b w:val="0"/>
          <w:color w:val="252A2E"/>
          <w:sz w:val="20"/>
        </w:rPr>
        <w:t>10. Datenquellen und Datenqualität</w:t>
      </w:r>
    </w:p>
    <w:p>
      <w:pPr>
        <w:spacing w:after="120" w:line="271" w:lineRule="auto"/>
      </w:pPr>
      <w:r>
        <w:rPr>
          <w:rFonts w:ascii="Arial" w:hAnsi="Arial"/>
          <w:b w:val="0"/>
          <w:color w:val="252A2E"/>
          <w:sz w:val="20"/>
        </w:rPr>
        <w:t>11. Politische Ausgestaltung</w:t>
      </w:r>
    </w:p>
    <w:p>
      <w:pPr>
        <w:spacing w:after="120" w:line="271" w:lineRule="auto"/>
      </w:pPr>
      <w:r>
        <w:rPr>
          <w:rFonts w:ascii="Arial" w:hAnsi="Arial"/>
          <w:b w:val="0"/>
          <w:color w:val="252A2E"/>
          <w:sz w:val="20"/>
        </w:rPr>
        <w:t>12. Online-Integration</w:t>
      </w:r>
    </w:p>
    <w:p>
      <w:r>
        <w:br w:type="page"/>
      </w:r>
    </w:p>
    <w:p>
      <w:pPr>
        <w:pStyle w:val="Heading1"/>
      </w:pPr>
      <w:r>
        <w:t>1. Zweck und Aufbau des Dossiers</w:t>
      </w:r>
    </w:p>
    <w:p>
      <w:pPr>
        <w:spacing w:after="120" w:line="271" w:lineRule="auto"/>
      </w:pPr>
      <w:r>
        <w:rPr>
          <w:rFonts w:ascii="Arial" w:hAnsi="Arial"/>
          <w:b w:val="0"/>
          <w:color w:val="252A2E"/>
          <w:sz w:val="20"/>
        </w:rPr>
        <w:t>Dieses Dossier operationalisiert das Detailkonzept. Es zeigt, wie Vermietungs- und Investmententscheidungen gemessen, verglichen, belohnt oder korrigiert werden können. Es enthält Modellrechnungen, Datenquellen, Annahmenboxen und eine Umsetzungslogik für Website und Tool.</w:t>
      </w:r>
    </w:p>
    <w:p>
      <w:pPr>
        <w:spacing w:after="120" w:line="271" w:lineRule="auto"/>
      </w:pPr>
      <w:r>
        <w:rPr>
          <w:rFonts w:ascii="Arial" w:hAnsi="Arial"/>
          <w:b w:val="0"/>
          <w:color w:val="252A2E"/>
          <w:sz w:val="20"/>
        </w:rPr>
        <w:t>Die Beispiele sind bewusst modellhaft. Sie sollen Wirkungslogik und Rechenwege zeigen, nicht amtliche Steuerbescheide oder konkrete Anlageempfehlungen erzeugen.</w:t>
      </w:r>
    </w:p>
    <w:p>
      <w:pPr>
        <w:pStyle w:val="Heading1"/>
      </w:pPr>
      <w:r>
        <w:t>2. Bewertungsmodell WIX-VI</w:t>
      </w:r>
    </w:p>
    <w:p>
      <w:pPr>
        <w:spacing w:after="120" w:line="271" w:lineRule="auto"/>
      </w:pPr>
      <w:r>
        <w:rPr>
          <w:rFonts w:ascii="Arial" w:hAnsi="Arial"/>
          <w:b w:val="0"/>
          <w:color w:val="252A2E"/>
          <w:sz w:val="20"/>
        </w:rPr>
        <w:t>Der WIX-VI ist das Vermietungs- und Investment-Modul des Wohnwirkungsindex. Er bildet die Wirkung eines Gebäudes, Portfolios oder Sanierungsvorhabens aus Vermieter:innen- und Investor:innenperspektive ab.</w:t>
      </w:r>
    </w:p>
    <w:p>
      <w:pPr>
        <w:spacing w:after="120" w:line="271" w:lineRule="auto"/>
      </w:pPr>
      <w:r>
        <w:rPr>
          <w:rFonts w:ascii="Arial" w:hAnsi="Arial"/>
          <w:b w:val="0"/>
          <w:color w:val="252A2E"/>
          <w:sz w:val="20"/>
        </w:rPr>
        <w:t>Der Score wird aus gewichteten Teilfeldern gebildet. Zusätzlich bleibt das schlechteste kritische Feld sichtbar, damit eine negative Wirkung - etwa Verdrängung oder spekulativer Leerstand - nicht durch gute Energiewerte vollständig kompensiert wird.</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Kernfeld</w:t>
            </w:r>
          </w:p>
        </w:tc>
        <w:tc>
          <w:tcPr>
            <w:tcW w:type="dxa" w:w="3360"/>
            <w:shd w:fill="001D30"/>
          </w:tcPr>
          <w:p>
            <w:r>
              <w:rPr>
                <w:rFonts w:ascii="Arial" w:hAnsi="Arial"/>
                <w:b/>
                <w:color w:val="FFFFFF"/>
                <w:sz w:val="16"/>
              </w:rPr>
              <w:t>Beispielindikatoren</w:t>
            </w:r>
          </w:p>
        </w:tc>
        <w:tc>
          <w:tcPr>
            <w:tcW w:type="dxa" w:w="3360"/>
            <w:shd w:fill="001D30"/>
          </w:tcPr>
          <w:p>
            <w:r>
              <w:rPr>
                <w:rFonts w:ascii="Arial" w:hAnsi="Arial"/>
                <w:b/>
                <w:color w:val="FFFFFF"/>
                <w:sz w:val="16"/>
              </w:rPr>
              <w:t>Gewicht v0.1</w:t>
            </w:r>
          </w:p>
        </w:tc>
      </w:tr>
      <w:tr>
        <w:tc>
          <w:tcPr>
            <w:tcW w:type="dxa" w:w="3360"/>
          </w:tcPr>
          <w:p>
            <w:r>
              <w:rPr>
                <w:rFonts w:ascii="Arial" w:hAnsi="Arial"/>
                <w:color w:val="252A2E"/>
                <w:sz w:val="16"/>
              </w:rPr>
              <w:t>Klima &amp; Energie</w:t>
            </w:r>
          </w:p>
        </w:tc>
        <w:tc>
          <w:tcPr>
            <w:tcW w:type="dxa" w:w="3360"/>
          </w:tcPr>
          <w:p>
            <w:r>
              <w:rPr>
                <w:rFonts w:ascii="Arial" w:hAnsi="Arial"/>
                <w:color w:val="252A2E"/>
                <w:sz w:val="16"/>
              </w:rPr>
              <w:t>Endenergie, CO2/m², Heizung, erneuerbare Wärme, Sanierungspfad</w:t>
            </w:r>
          </w:p>
        </w:tc>
        <w:tc>
          <w:tcPr>
            <w:tcW w:type="dxa" w:w="3360"/>
          </w:tcPr>
          <w:p>
            <w:r>
              <w:rPr>
                <w:rFonts w:ascii="Arial" w:hAnsi="Arial"/>
                <w:color w:val="252A2E"/>
                <w:sz w:val="16"/>
              </w:rPr>
              <w:t>25 %</w:t>
            </w:r>
          </w:p>
        </w:tc>
      </w:tr>
      <w:tr>
        <w:tc>
          <w:tcPr>
            <w:tcW w:type="dxa" w:w="3360"/>
          </w:tcPr>
          <w:p>
            <w:r>
              <w:rPr>
                <w:rFonts w:ascii="Arial" w:hAnsi="Arial"/>
                <w:color w:val="252A2E"/>
                <w:sz w:val="16"/>
              </w:rPr>
              <w:t>Bezahlbarkeit &amp; Warmmiete</w:t>
            </w:r>
          </w:p>
        </w:tc>
        <w:tc>
          <w:tcPr>
            <w:tcW w:type="dxa" w:w="3360"/>
          </w:tcPr>
          <w:p>
            <w:r>
              <w:rPr>
                <w:rFonts w:ascii="Arial" w:hAnsi="Arial"/>
                <w:color w:val="252A2E"/>
                <w:sz w:val="16"/>
              </w:rPr>
              <w:t>Warmmietenbelastung, Nebenkosten, Mietentwicklung</w:t>
            </w:r>
          </w:p>
        </w:tc>
        <w:tc>
          <w:tcPr>
            <w:tcW w:type="dxa" w:w="3360"/>
          </w:tcPr>
          <w:p>
            <w:r>
              <w:rPr>
                <w:rFonts w:ascii="Arial" w:hAnsi="Arial"/>
                <w:color w:val="252A2E"/>
                <w:sz w:val="16"/>
              </w:rPr>
              <w:t>25 %</w:t>
            </w:r>
          </w:p>
        </w:tc>
      </w:tr>
      <w:tr>
        <w:tc>
          <w:tcPr>
            <w:tcW w:type="dxa" w:w="3360"/>
          </w:tcPr>
          <w:p>
            <w:r>
              <w:rPr>
                <w:rFonts w:ascii="Arial" w:hAnsi="Arial"/>
                <w:color w:val="252A2E"/>
                <w:sz w:val="16"/>
              </w:rPr>
              <w:t>Gesundheit &amp; Sicherheit</w:t>
            </w:r>
          </w:p>
        </w:tc>
        <w:tc>
          <w:tcPr>
            <w:tcW w:type="dxa" w:w="3360"/>
          </w:tcPr>
          <w:p>
            <w:r>
              <w:rPr>
                <w:rFonts w:ascii="Arial" w:hAnsi="Arial"/>
                <w:color w:val="252A2E"/>
                <w:sz w:val="16"/>
              </w:rPr>
              <w:t>Innenraumluft, Schimmel, Hitze, Lärm, Brandschutz</w:t>
            </w:r>
          </w:p>
        </w:tc>
        <w:tc>
          <w:tcPr>
            <w:tcW w:type="dxa" w:w="3360"/>
          </w:tcPr>
          <w:p>
            <w:r>
              <w:rPr>
                <w:rFonts w:ascii="Arial" w:hAnsi="Arial"/>
                <w:color w:val="252A2E"/>
                <w:sz w:val="16"/>
              </w:rPr>
              <w:t>12 %</w:t>
            </w:r>
          </w:p>
        </w:tc>
      </w:tr>
      <w:tr>
        <w:tc>
          <w:tcPr>
            <w:tcW w:type="dxa" w:w="3360"/>
          </w:tcPr>
          <w:p>
            <w:r>
              <w:rPr>
                <w:rFonts w:ascii="Arial" w:hAnsi="Arial"/>
                <w:color w:val="252A2E"/>
                <w:sz w:val="16"/>
              </w:rPr>
              <w:t>Soziale Stabilität &amp; Verdrängung</w:t>
            </w:r>
          </w:p>
        </w:tc>
        <w:tc>
          <w:tcPr>
            <w:tcW w:type="dxa" w:w="3360"/>
          </w:tcPr>
          <w:p>
            <w:r>
              <w:rPr>
                <w:rFonts w:ascii="Arial" w:hAnsi="Arial"/>
                <w:color w:val="252A2E"/>
                <w:sz w:val="16"/>
              </w:rPr>
              <w:t>Mieterwechsel, Härtefälle, Entmietungsrisiko</w:t>
            </w:r>
          </w:p>
        </w:tc>
        <w:tc>
          <w:tcPr>
            <w:tcW w:type="dxa" w:w="3360"/>
          </w:tcPr>
          <w:p>
            <w:r>
              <w:rPr>
                <w:rFonts w:ascii="Arial" w:hAnsi="Arial"/>
                <w:color w:val="252A2E"/>
                <w:sz w:val="16"/>
              </w:rPr>
              <w:t>15 %</w:t>
            </w:r>
          </w:p>
        </w:tc>
      </w:tr>
      <w:tr>
        <w:tc>
          <w:tcPr>
            <w:tcW w:type="dxa" w:w="3360"/>
          </w:tcPr>
          <w:p>
            <w:r>
              <w:rPr>
                <w:rFonts w:ascii="Arial" w:hAnsi="Arial"/>
                <w:color w:val="252A2E"/>
                <w:sz w:val="16"/>
              </w:rPr>
              <w:t>Quartier &amp; Teilhabe</w:t>
            </w:r>
          </w:p>
        </w:tc>
        <w:tc>
          <w:tcPr>
            <w:tcW w:type="dxa" w:w="3360"/>
          </w:tcPr>
          <w:p>
            <w:r>
              <w:rPr>
                <w:rFonts w:ascii="Arial" w:hAnsi="Arial"/>
                <w:color w:val="252A2E"/>
                <w:sz w:val="16"/>
              </w:rPr>
              <w:t>Barrierefreiheit, Grün, Mobilität, Versorgung, Begegnung</w:t>
            </w:r>
          </w:p>
        </w:tc>
        <w:tc>
          <w:tcPr>
            <w:tcW w:type="dxa" w:w="3360"/>
          </w:tcPr>
          <w:p>
            <w:r>
              <w:rPr>
                <w:rFonts w:ascii="Arial" w:hAnsi="Arial"/>
                <w:color w:val="252A2E"/>
                <w:sz w:val="16"/>
              </w:rPr>
              <w:t>10 %</w:t>
            </w:r>
          </w:p>
        </w:tc>
      </w:tr>
      <w:tr>
        <w:tc>
          <w:tcPr>
            <w:tcW w:type="dxa" w:w="3360"/>
          </w:tcPr>
          <w:p>
            <w:r>
              <w:rPr>
                <w:rFonts w:ascii="Arial" w:hAnsi="Arial"/>
                <w:color w:val="252A2E"/>
                <w:sz w:val="16"/>
              </w:rPr>
              <w:t>Governance &amp; Transparenz</w:t>
            </w:r>
          </w:p>
        </w:tc>
        <w:tc>
          <w:tcPr>
            <w:tcW w:type="dxa" w:w="3360"/>
          </w:tcPr>
          <w:p>
            <w:r>
              <w:rPr>
                <w:rFonts w:ascii="Arial" w:hAnsi="Arial"/>
                <w:color w:val="252A2E"/>
                <w:sz w:val="16"/>
              </w:rPr>
              <w:t>Eigentümerstruktur, Kostenklarheit, Beteiligung, Datenqualität</w:t>
            </w:r>
          </w:p>
        </w:tc>
        <w:tc>
          <w:tcPr>
            <w:tcW w:type="dxa" w:w="3360"/>
          </w:tcPr>
          <w:p>
            <w:r>
              <w:rPr>
                <w:rFonts w:ascii="Arial" w:hAnsi="Arial"/>
                <w:color w:val="252A2E"/>
                <w:sz w:val="16"/>
              </w:rPr>
              <w:t>8 %</w:t>
            </w:r>
          </w:p>
        </w:tc>
      </w:tr>
      <w:tr>
        <w:tc>
          <w:tcPr>
            <w:tcW w:type="dxa" w:w="3360"/>
          </w:tcPr>
          <w:p>
            <w:r>
              <w:rPr>
                <w:rFonts w:ascii="Arial" w:hAnsi="Arial"/>
                <w:color w:val="252A2E"/>
                <w:sz w:val="16"/>
              </w:rPr>
              <w:t>Spekulation &amp; Leerstand</w:t>
            </w:r>
          </w:p>
        </w:tc>
        <w:tc>
          <w:tcPr>
            <w:tcW w:type="dxa" w:w="3360"/>
          </w:tcPr>
          <w:p>
            <w:r>
              <w:rPr>
                <w:rFonts w:ascii="Arial" w:hAnsi="Arial"/>
                <w:color w:val="252A2E"/>
                <w:sz w:val="16"/>
              </w:rPr>
              <w:t>Leerstand, Zweckentfremdung, Bodenhortung, Umwandlung</w:t>
            </w:r>
          </w:p>
        </w:tc>
        <w:tc>
          <w:tcPr>
            <w:tcW w:type="dxa" w:w="3360"/>
          </w:tcPr>
          <w:p>
            <w:r>
              <w:rPr>
                <w:rFonts w:ascii="Arial" w:hAnsi="Arial"/>
                <w:color w:val="252A2E"/>
                <w:sz w:val="16"/>
              </w:rPr>
              <w:t>5 %</w:t>
            </w:r>
          </w:p>
        </w:tc>
      </w:tr>
    </w:tbl>
    <w:p/>
    <w:p>
      <w:pPr>
        <w:pStyle w:val="Heading1"/>
      </w:pPr>
      <w:r>
        <w:t>3. Fallstudie 1: verantwortliche Sanierung</w:t>
      </w:r>
    </w:p>
    <w:p>
      <w:pPr>
        <w:spacing w:after="120" w:line="271" w:lineRule="auto"/>
      </w:pPr>
      <w:r>
        <w:rPr>
          <w:rFonts w:ascii="Arial" w:hAnsi="Arial"/>
          <w:b w:val="0"/>
          <w:color w:val="252A2E"/>
          <w:sz w:val="20"/>
        </w:rPr>
        <w:t>Ein 12-Parteien-Haus aus dem Jahr 1978 wird energetisch saniert. Ausgangslage: Gasheizung, hohe Nebenkosten, mittlere Kaltmiete 900 Euro, Nebenkosten 300 Euro, Warmmiete 1.200 Euro. Die Mietbelastung liegt bei 38 Prozent des Haushaltseinkommens.</w:t>
      </w:r>
    </w:p>
    <w:p>
      <w:pPr>
        <w:spacing w:after="120" w:line="271" w:lineRule="auto"/>
      </w:pPr>
      <w:r>
        <w:rPr>
          <w:rFonts w:ascii="Arial" w:hAnsi="Arial"/>
          <w:b w:val="0"/>
          <w:color w:val="252A2E"/>
          <w:sz w:val="20"/>
        </w:rPr>
        <w:t>Die Maßnahme kombiniert energetische Sanierung, erneuerbare Wärme, PV/Mieterstrom, transparente Fördermittel, Beteiligung und Warmmietenneutralität. Die Nebenkosten sinken auf 120 Euro; ein Mieterstrom-/Wirkungsbonus reduziert die Belastung um weitere 30 Euro. Die reale Warmbelastung sinkt auf 990 Euro.</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shd w:fill="001D30"/>
          </w:tcPr>
          <w:p>
            <w:r>
              <w:rPr>
                <w:rFonts w:ascii="Arial" w:hAnsi="Arial"/>
                <w:b/>
                <w:color w:val="FFFFFF"/>
                <w:sz w:val="16"/>
              </w:rPr>
              <w:t>Position</w:t>
            </w:r>
          </w:p>
        </w:tc>
        <w:tc>
          <w:tcPr>
            <w:tcW w:type="dxa" w:w="2520"/>
            <w:shd w:fill="001D30"/>
          </w:tcPr>
          <w:p>
            <w:r>
              <w:rPr>
                <w:rFonts w:ascii="Arial" w:hAnsi="Arial"/>
                <w:b/>
                <w:color w:val="FFFFFF"/>
                <w:sz w:val="16"/>
              </w:rPr>
              <w:t>Heute</w:t>
            </w:r>
          </w:p>
        </w:tc>
        <w:tc>
          <w:tcPr>
            <w:tcW w:type="dxa" w:w="2520"/>
            <w:shd w:fill="001D30"/>
          </w:tcPr>
          <w:p>
            <w:r>
              <w:rPr>
                <w:rFonts w:ascii="Arial" w:hAnsi="Arial"/>
                <w:b/>
                <w:color w:val="FFFFFF"/>
                <w:sz w:val="16"/>
              </w:rPr>
              <w:t>WÖk-Pfad</w:t>
            </w:r>
          </w:p>
        </w:tc>
        <w:tc>
          <w:tcPr>
            <w:tcW w:type="dxa" w:w="2520"/>
            <w:shd w:fill="001D30"/>
          </w:tcPr>
          <w:p>
            <w:r>
              <w:rPr>
                <w:rFonts w:ascii="Arial" w:hAnsi="Arial"/>
                <w:b/>
                <w:color w:val="FFFFFF"/>
                <w:sz w:val="16"/>
              </w:rPr>
              <w:t>Wirkung</w:t>
            </w:r>
          </w:p>
        </w:tc>
      </w:tr>
      <w:tr>
        <w:tc>
          <w:tcPr>
            <w:tcW w:type="dxa" w:w="2520"/>
          </w:tcPr>
          <w:p>
            <w:r>
              <w:rPr>
                <w:rFonts w:ascii="Arial" w:hAnsi="Arial"/>
                <w:color w:val="252A2E"/>
                <w:sz w:val="16"/>
              </w:rPr>
              <w:t>Kaltmiete</w:t>
            </w:r>
          </w:p>
        </w:tc>
        <w:tc>
          <w:tcPr>
            <w:tcW w:type="dxa" w:w="2520"/>
          </w:tcPr>
          <w:p>
            <w:r>
              <w:rPr>
                <w:rFonts w:ascii="Arial" w:hAnsi="Arial"/>
                <w:color w:val="252A2E"/>
                <w:sz w:val="16"/>
              </w:rPr>
              <w:t>900 Euro</w:t>
            </w:r>
          </w:p>
        </w:tc>
        <w:tc>
          <w:tcPr>
            <w:tcW w:type="dxa" w:w="2520"/>
          </w:tcPr>
          <w:p>
            <w:r>
              <w:rPr>
                <w:rFonts w:ascii="Arial" w:hAnsi="Arial"/>
                <w:color w:val="252A2E"/>
                <w:sz w:val="16"/>
              </w:rPr>
              <w:t>900 bis 950 Euro, je nach Fördermix</w:t>
            </w:r>
          </w:p>
        </w:tc>
        <w:tc>
          <w:tcPr>
            <w:tcW w:type="dxa" w:w="2520"/>
          </w:tcPr>
          <w:p>
            <w:r>
              <w:rPr>
                <w:rFonts w:ascii="Arial" w:hAnsi="Arial"/>
                <w:color w:val="252A2E"/>
                <w:sz w:val="16"/>
              </w:rPr>
              <w:t>sozial stabil</w:t>
            </w:r>
          </w:p>
        </w:tc>
      </w:tr>
      <w:tr>
        <w:tc>
          <w:tcPr>
            <w:tcW w:type="dxa" w:w="2520"/>
          </w:tcPr>
          <w:p>
            <w:r>
              <w:rPr>
                <w:rFonts w:ascii="Arial" w:hAnsi="Arial"/>
                <w:color w:val="252A2E"/>
                <w:sz w:val="16"/>
              </w:rPr>
              <w:t>Nebenkosten</w:t>
            </w:r>
          </w:p>
        </w:tc>
        <w:tc>
          <w:tcPr>
            <w:tcW w:type="dxa" w:w="2520"/>
          </w:tcPr>
          <w:p>
            <w:r>
              <w:rPr>
                <w:rFonts w:ascii="Arial" w:hAnsi="Arial"/>
                <w:color w:val="252A2E"/>
                <w:sz w:val="16"/>
              </w:rPr>
              <w:t>300 Euro</w:t>
            </w:r>
          </w:p>
        </w:tc>
        <w:tc>
          <w:tcPr>
            <w:tcW w:type="dxa" w:w="2520"/>
          </w:tcPr>
          <w:p>
            <w:r>
              <w:rPr>
                <w:rFonts w:ascii="Arial" w:hAnsi="Arial"/>
                <w:color w:val="252A2E"/>
                <w:sz w:val="16"/>
              </w:rPr>
              <w:t>120 Euro</w:t>
            </w:r>
          </w:p>
        </w:tc>
        <w:tc>
          <w:tcPr>
            <w:tcW w:type="dxa" w:w="2520"/>
          </w:tcPr>
          <w:p>
            <w:r>
              <w:rPr>
                <w:rFonts w:ascii="Arial" w:hAnsi="Arial"/>
                <w:color w:val="252A2E"/>
                <w:sz w:val="16"/>
              </w:rPr>
              <w:t>Entlastung</w:t>
            </w:r>
          </w:p>
        </w:tc>
      </w:tr>
      <w:tr>
        <w:tc>
          <w:tcPr>
            <w:tcW w:type="dxa" w:w="2520"/>
          </w:tcPr>
          <w:p>
            <w:r>
              <w:rPr>
                <w:rFonts w:ascii="Arial" w:hAnsi="Arial"/>
                <w:color w:val="252A2E"/>
                <w:sz w:val="16"/>
              </w:rPr>
              <w:t>Wirkungs-/Mieterstrombonus</w:t>
            </w:r>
          </w:p>
        </w:tc>
        <w:tc>
          <w:tcPr>
            <w:tcW w:type="dxa" w:w="2520"/>
          </w:tcPr>
          <w:p>
            <w:r>
              <w:rPr>
                <w:rFonts w:ascii="Arial" w:hAnsi="Arial"/>
                <w:color w:val="252A2E"/>
                <w:sz w:val="16"/>
              </w:rPr>
              <w:t>0 Euro</w:t>
            </w:r>
          </w:p>
        </w:tc>
        <w:tc>
          <w:tcPr>
            <w:tcW w:type="dxa" w:w="2520"/>
          </w:tcPr>
          <w:p>
            <w:r>
              <w:rPr>
                <w:rFonts w:ascii="Arial" w:hAnsi="Arial"/>
                <w:color w:val="252A2E"/>
                <w:sz w:val="16"/>
              </w:rPr>
              <w:t>–30 Euro</w:t>
            </w:r>
          </w:p>
        </w:tc>
        <w:tc>
          <w:tcPr>
            <w:tcW w:type="dxa" w:w="2520"/>
          </w:tcPr>
          <w:p>
            <w:r>
              <w:rPr>
                <w:rFonts w:ascii="Arial" w:hAnsi="Arial"/>
                <w:color w:val="252A2E"/>
                <w:sz w:val="16"/>
              </w:rPr>
              <w:t>positive Rückkopplung</w:t>
            </w:r>
          </w:p>
        </w:tc>
      </w:tr>
      <w:tr>
        <w:tc>
          <w:tcPr>
            <w:tcW w:type="dxa" w:w="2520"/>
          </w:tcPr>
          <w:p>
            <w:r>
              <w:rPr>
                <w:rFonts w:ascii="Arial" w:hAnsi="Arial"/>
                <w:color w:val="252A2E"/>
                <w:sz w:val="16"/>
              </w:rPr>
              <w:t>Warmbelastung</w:t>
            </w:r>
          </w:p>
        </w:tc>
        <w:tc>
          <w:tcPr>
            <w:tcW w:type="dxa" w:w="2520"/>
          </w:tcPr>
          <w:p>
            <w:r>
              <w:rPr>
                <w:rFonts w:ascii="Arial" w:hAnsi="Arial"/>
                <w:color w:val="252A2E"/>
                <w:sz w:val="16"/>
              </w:rPr>
              <w:t>1.200 Euro</w:t>
            </w:r>
          </w:p>
        </w:tc>
        <w:tc>
          <w:tcPr>
            <w:tcW w:type="dxa" w:w="2520"/>
          </w:tcPr>
          <w:p>
            <w:r>
              <w:rPr>
                <w:rFonts w:ascii="Arial" w:hAnsi="Arial"/>
                <w:color w:val="252A2E"/>
                <w:sz w:val="16"/>
              </w:rPr>
              <w:t>990 bis 1.040 Euro</w:t>
            </w:r>
          </w:p>
        </w:tc>
        <w:tc>
          <w:tcPr>
            <w:tcW w:type="dxa" w:w="2520"/>
          </w:tcPr>
          <w:p>
            <w:r>
              <w:rPr>
                <w:rFonts w:ascii="Arial" w:hAnsi="Arial"/>
                <w:color w:val="252A2E"/>
                <w:sz w:val="16"/>
              </w:rPr>
              <w:t>–13 bis –17,5 %</w:t>
            </w:r>
          </w:p>
        </w:tc>
      </w:tr>
      <w:tr>
        <w:tc>
          <w:tcPr>
            <w:tcW w:type="dxa" w:w="2520"/>
          </w:tcPr>
          <w:p>
            <w:r>
              <w:rPr>
                <w:rFonts w:ascii="Arial" w:hAnsi="Arial"/>
                <w:color w:val="252A2E"/>
                <w:sz w:val="16"/>
              </w:rPr>
              <w:t>Portfolio-Risiko</w:t>
            </w:r>
          </w:p>
        </w:tc>
        <w:tc>
          <w:tcPr>
            <w:tcW w:type="dxa" w:w="2520"/>
          </w:tcPr>
          <w:p>
            <w:r>
              <w:rPr>
                <w:rFonts w:ascii="Arial" w:hAnsi="Arial"/>
                <w:color w:val="252A2E"/>
                <w:sz w:val="16"/>
              </w:rPr>
              <w:t>hoch</w:t>
            </w:r>
          </w:p>
        </w:tc>
        <w:tc>
          <w:tcPr>
            <w:tcW w:type="dxa" w:w="2520"/>
          </w:tcPr>
          <w:p>
            <w:r>
              <w:rPr>
                <w:rFonts w:ascii="Arial" w:hAnsi="Arial"/>
                <w:color w:val="252A2E"/>
                <w:sz w:val="16"/>
              </w:rPr>
              <w:t>niedriger</w:t>
            </w:r>
          </w:p>
        </w:tc>
        <w:tc>
          <w:tcPr>
            <w:tcW w:type="dxa" w:w="2520"/>
          </w:tcPr>
          <w:p>
            <w:r>
              <w:rPr>
                <w:rFonts w:ascii="Arial" w:hAnsi="Arial"/>
                <w:color w:val="252A2E"/>
                <w:sz w:val="16"/>
              </w:rPr>
              <w:t>Stranding-Prävention</w:t>
            </w:r>
          </w:p>
        </w:tc>
      </w:tr>
    </w:tbl>
    <w:p/>
    <w:p>
      <w:pPr>
        <w:pStyle w:val="Heading1"/>
      </w:pPr>
      <w:r>
        <w:t>4. Fallstudie 2: Luxussanierung mit Verdrängungswirkung</w:t>
      </w:r>
    </w:p>
    <w:p>
      <w:pPr>
        <w:spacing w:after="120" w:line="271" w:lineRule="auto"/>
      </w:pPr>
      <w:r>
        <w:rPr>
          <w:rFonts w:ascii="Arial" w:hAnsi="Arial"/>
          <w:b w:val="0"/>
          <w:color w:val="252A2E"/>
          <w:sz w:val="20"/>
        </w:rPr>
        <w:t>Ein Gebäude wird energetisch und hochwertig modernisiert. Formal sinken Energieverbräuche. Gleichzeitig steigen Kaltmiete und Nebenkosten so stark, dass langjährige Mieter:innen ausziehen müssen.</w:t>
      </w:r>
    </w:p>
    <w:p>
      <w:pPr>
        <w:spacing w:after="120" w:line="271" w:lineRule="auto"/>
      </w:pPr>
      <w:r>
        <w:rPr>
          <w:rFonts w:ascii="Arial" w:hAnsi="Arial"/>
          <w:b w:val="0"/>
          <w:color w:val="252A2E"/>
          <w:sz w:val="20"/>
        </w:rPr>
        <w:t>Wirkungsökonomisch entsteht eine Zielkonfliktlage: Klimaeffekt positiv, soziale Wirkung negativ. Durch die Schutzregel darf das Klimaargument die Verdrängungswirkung nicht überdecken. Das Objekt erhält Korrektur- oder Malusstatus.</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Feld</w:t>
            </w:r>
          </w:p>
        </w:tc>
        <w:tc>
          <w:tcPr>
            <w:tcW w:type="dxa" w:w="3360"/>
            <w:shd w:fill="001D30"/>
          </w:tcPr>
          <w:p>
            <w:r>
              <w:rPr>
                <w:rFonts w:ascii="Arial" w:hAnsi="Arial"/>
                <w:b/>
                <w:color w:val="FFFFFF"/>
                <w:sz w:val="16"/>
              </w:rPr>
              <w:t>Score</w:t>
            </w:r>
          </w:p>
        </w:tc>
        <w:tc>
          <w:tcPr>
            <w:tcW w:type="dxa" w:w="3360"/>
            <w:shd w:fill="001D30"/>
          </w:tcPr>
          <w:p>
            <w:r>
              <w:rPr>
                <w:rFonts w:ascii="Arial" w:hAnsi="Arial"/>
                <w:b/>
                <w:color w:val="FFFFFF"/>
                <w:sz w:val="16"/>
              </w:rPr>
              <w:t>Begründung</w:t>
            </w:r>
          </w:p>
        </w:tc>
      </w:tr>
      <w:tr>
        <w:tc>
          <w:tcPr>
            <w:tcW w:type="dxa" w:w="3360"/>
          </w:tcPr>
          <w:p>
            <w:r>
              <w:rPr>
                <w:rFonts w:ascii="Arial" w:hAnsi="Arial"/>
                <w:color w:val="252A2E"/>
                <w:sz w:val="16"/>
              </w:rPr>
              <w:t>Klima &amp; Energie</w:t>
            </w:r>
          </w:p>
        </w:tc>
        <w:tc>
          <w:tcPr>
            <w:tcW w:type="dxa" w:w="3360"/>
          </w:tcPr>
          <w:p>
            <w:r>
              <w:rPr>
                <w:rFonts w:ascii="Arial" w:hAnsi="Arial"/>
                <w:color w:val="252A2E"/>
                <w:sz w:val="16"/>
              </w:rPr>
              <w:t>+2</w:t>
            </w:r>
          </w:p>
        </w:tc>
        <w:tc>
          <w:tcPr>
            <w:tcW w:type="dxa" w:w="3360"/>
          </w:tcPr>
          <w:p>
            <w:r>
              <w:rPr>
                <w:rFonts w:ascii="Arial" w:hAnsi="Arial"/>
                <w:color w:val="252A2E"/>
                <w:sz w:val="16"/>
              </w:rPr>
              <w:t>Energieverbrauch sinkt</w:t>
            </w:r>
          </w:p>
        </w:tc>
      </w:tr>
      <w:tr>
        <w:tc>
          <w:tcPr>
            <w:tcW w:type="dxa" w:w="3360"/>
          </w:tcPr>
          <w:p>
            <w:r>
              <w:rPr>
                <w:rFonts w:ascii="Arial" w:hAnsi="Arial"/>
                <w:color w:val="252A2E"/>
                <w:sz w:val="16"/>
              </w:rPr>
              <w:t>Bezahlbarkeit</w:t>
            </w:r>
          </w:p>
        </w:tc>
        <w:tc>
          <w:tcPr>
            <w:tcW w:type="dxa" w:w="3360"/>
          </w:tcPr>
          <w:p>
            <w:r>
              <w:rPr>
                <w:rFonts w:ascii="Arial" w:hAnsi="Arial"/>
                <w:color w:val="252A2E"/>
                <w:sz w:val="16"/>
              </w:rPr>
              <w:t>–2</w:t>
            </w:r>
          </w:p>
        </w:tc>
        <w:tc>
          <w:tcPr>
            <w:tcW w:type="dxa" w:w="3360"/>
          </w:tcPr>
          <w:p>
            <w:r>
              <w:rPr>
                <w:rFonts w:ascii="Arial" w:hAnsi="Arial"/>
                <w:color w:val="252A2E"/>
                <w:sz w:val="16"/>
              </w:rPr>
              <w:t>Warmmiete steigt deutlich</w:t>
            </w:r>
          </w:p>
        </w:tc>
      </w:tr>
      <w:tr>
        <w:tc>
          <w:tcPr>
            <w:tcW w:type="dxa" w:w="3360"/>
          </w:tcPr>
          <w:p>
            <w:r>
              <w:rPr>
                <w:rFonts w:ascii="Arial" w:hAnsi="Arial"/>
                <w:color w:val="252A2E"/>
                <w:sz w:val="16"/>
              </w:rPr>
              <w:t>Soziale Stabilität</w:t>
            </w:r>
          </w:p>
        </w:tc>
        <w:tc>
          <w:tcPr>
            <w:tcW w:type="dxa" w:w="3360"/>
          </w:tcPr>
          <w:p>
            <w:r>
              <w:rPr>
                <w:rFonts w:ascii="Arial" w:hAnsi="Arial"/>
                <w:color w:val="252A2E"/>
                <w:sz w:val="16"/>
              </w:rPr>
              <w:t>–3</w:t>
            </w:r>
          </w:p>
        </w:tc>
        <w:tc>
          <w:tcPr>
            <w:tcW w:type="dxa" w:w="3360"/>
          </w:tcPr>
          <w:p>
            <w:r>
              <w:rPr>
                <w:rFonts w:ascii="Arial" w:hAnsi="Arial"/>
                <w:color w:val="252A2E"/>
                <w:sz w:val="16"/>
              </w:rPr>
              <w:t>Verdrängung langjähriger Haushalte</w:t>
            </w:r>
          </w:p>
        </w:tc>
      </w:tr>
      <w:tr>
        <w:tc>
          <w:tcPr>
            <w:tcW w:type="dxa" w:w="3360"/>
          </w:tcPr>
          <w:p>
            <w:r>
              <w:rPr>
                <w:rFonts w:ascii="Arial" w:hAnsi="Arial"/>
                <w:color w:val="252A2E"/>
                <w:sz w:val="16"/>
              </w:rPr>
              <w:t>Governance</w:t>
            </w:r>
          </w:p>
        </w:tc>
        <w:tc>
          <w:tcPr>
            <w:tcW w:type="dxa" w:w="3360"/>
          </w:tcPr>
          <w:p>
            <w:r>
              <w:rPr>
                <w:rFonts w:ascii="Arial" w:hAnsi="Arial"/>
                <w:color w:val="252A2E"/>
                <w:sz w:val="16"/>
              </w:rPr>
              <w:t>–1</w:t>
            </w:r>
          </w:p>
        </w:tc>
        <w:tc>
          <w:tcPr>
            <w:tcW w:type="dxa" w:w="3360"/>
          </w:tcPr>
          <w:p>
            <w:r>
              <w:rPr>
                <w:rFonts w:ascii="Arial" w:hAnsi="Arial"/>
                <w:color w:val="252A2E"/>
                <w:sz w:val="16"/>
              </w:rPr>
              <w:t>fehlende Beteiligung</w:t>
            </w:r>
          </w:p>
        </w:tc>
      </w:tr>
      <w:tr>
        <w:tc>
          <w:tcPr>
            <w:tcW w:type="dxa" w:w="3360"/>
          </w:tcPr>
          <w:p>
            <w:r>
              <w:rPr>
                <w:rFonts w:ascii="Arial" w:hAnsi="Arial"/>
                <w:color w:val="252A2E"/>
                <w:sz w:val="16"/>
              </w:rPr>
              <w:t>Gesamt</w:t>
            </w:r>
          </w:p>
        </w:tc>
        <w:tc>
          <w:tcPr>
            <w:tcW w:type="dxa" w:w="3360"/>
          </w:tcPr>
          <w:p>
            <w:r>
              <w:rPr>
                <w:rFonts w:ascii="Arial" w:hAnsi="Arial"/>
                <w:color w:val="252A2E"/>
                <w:sz w:val="16"/>
              </w:rPr>
              <w:t>negativ trotz Klimawert</w:t>
            </w:r>
          </w:p>
        </w:tc>
        <w:tc>
          <w:tcPr>
            <w:tcW w:type="dxa" w:w="3360"/>
          </w:tcPr>
          <w:p>
            <w:r>
              <w:rPr>
                <w:rFonts w:ascii="Arial" w:hAnsi="Arial"/>
                <w:color w:val="252A2E"/>
                <w:sz w:val="16"/>
              </w:rPr>
              <w:t>Schutzregel greift</w:t>
            </w:r>
          </w:p>
        </w:tc>
      </w:tr>
    </w:tbl>
    <w:p/>
    <w:p>
      <w:pPr>
        <w:pStyle w:val="Heading1"/>
      </w:pPr>
      <w:r>
        <w:t>5. Fallstudie 3: spekulativer Leerstand</w:t>
      </w:r>
    </w:p>
    <w:p>
      <w:pPr>
        <w:spacing w:after="120" w:line="271" w:lineRule="auto"/>
      </w:pPr>
      <w:r>
        <w:rPr>
          <w:rFonts w:ascii="Arial" w:hAnsi="Arial"/>
          <w:b w:val="0"/>
          <w:color w:val="252A2E"/>
          <w:sz w:val="20"/>
        </w:rPr>
        <w:t>Eine nutzbare Wohnung bleibt über längere Zeit leer, weil Verkauf, Umwandlung oder Feriennutzung erwartet wird. In einem angespannten Markt erhöht Leerstand den Druck auf Mieten und Wohnversorgung.</w:t>
      </w:r>
    </w:p>
    <w:p>
      <w:pPr>
        <w:spacing w:after="120" w:line="271" w:lineRule="auto"/>
      </w:pPr>
      <w:r>
        <w:rPr>
          <w:rFonts w:ascii="Arial" w:hAnsi="Arial"/>
          <w:b w:val="0"/>
          <w:color w:val="252A2E"/>
          <w:sz w:val="20"/>
        </w:rPr>
        <w:t>Der WIX-VI unterscheidet berechtigten Leerstand von spekulativem Leerstand. Berechtigt kann Leerstand bei Sanierung, rechtlicher Klärung, technischer Unbewohnbarkeit oder Erbauseinandersetzung sein. Spekulativ ist Leerstand, wenn Wohnraum dem Markt entzogen wird, obwohl Nutzung möglich wäre.</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Leerstandstyp</w:t>
            </w:r>
          </w:p>
        </w:tc>
        <w:tc>
          <w:tcPr>
            <w:tcW w:type="dxa" w:w="3360"/>
            <w:shd w:fill="001D30"/>
          </w:tcPr>
          <w:p>
            <w:r>
              <w:rPr>
                <w:rFonts w:ascii="Arial" w:hAnsi="Arial"/>
                <w:b/>
                <w:color w:val="FFFFFF"/>
                <w:sz w:val="16"/>
              </w:rPr>
              <w:t>Bewertung</w:t>
            </w:r>
          </w:p>
        </w:tc>
        <w:tc>
          <w:tcPr>
            <w:tcW w:type="dxa" w:w="3360"/>
            <w:shd w:fill="001D30"/>
          </w:tcPr>
          <w:p>
            <w:r>
              <w:rPr>
                <w:rFonts w:ascii="Arial" w:hAnsi="Arial"/>
                <w:b/>
                <w:color w:val="FFFFFF"/>
                <w:sz w:val="16"/>
              </w:rPr>
              <w:t>WÖk-Reaktion</w:t>
            </w:r>
          </w:p>
        </w:tc>
      </w:tr>
      <w:tr>
        <w:tc>
          <w:tcPr>
            <w:tcW w:type="dxa" w:w="3360"/>
          </w:tcPr>
          <w:p>
            <w:r>
              <w:rPr>
                <w:rFonts w:ascii="Arial" w:hAnsi="Arial"/>
                <w:color w:val="252A2E"/>
                <w:sz w:val="16"/>
              </w:rPr>
              <w:t>Sanierungsleerstand</w:t>
            </w:r>
          </w:p>
        </w:tc>
        <w:tc>
          <w:tcPr>
            <w:tcW w:type="dxa" w:w="3360"/>
          </w:tcPr>
          <w:p>
            <w:r>
              <w:rPr>
                <w:rFonts w:ascii="Arial" w:hAnsi="Arial"/>
                <w:color w:val="252A2E"/>
                <w:sz w:val="16"/>
              </w:rPr>
              <w:t>neutral bis positiv</w:t>
            </w:r>
          </w:p>
        </w:tc>
        <w:tc>
          <w:tcPr>
            <w:tcW w:type="dxa" w:w="3360"/>
          </w:tcPr>
          <w:p>
            <w:r>
              <w:rPr>
                <w:rFonts w:ascii="Arial" w:hAnsi="Arial"/>
                <w:color w:val="252A2E"/>
                <w:sz w:val="16"/>
              </w:rPr>
              <w:t>befristet, dokumentiert, Rückkehrplan</w:t>
            </w:r>
          </w:p>
        </w:tc>
      </w:tr>
      <w:tr>
        <w:tc>
          <w:tcPr>
            <w:tcW w:type="dxa" w:w="3360"/>
          </w:tcPr>
          <w:p>
            <w:r>
              <w:rPr>
                <w:rFonts w:ascii="Arial" w:hAnsi="Arial"/>
                <w:color w:val="252A2E"/>
                <w:sz w:val="16"/>
              </w:rPr>
              <w:t>Technisch unbewohnbar</w:t>
            </w:r>
          </w:p>
        </w:tc>
        <w:tc>
          <w:tcPr>
            <w:tcW w:type="dxa" w:w="3360"/>
          </w:tcPr>
          <w:p>
            <w:r>
              <w:rPr>
                <w:rFonts w:ascii="Arial" w:hAnsi="Arial"/>
                <w:color w:val="252A2E"/>
                <w:sz w:val="16"/>
              </w:rPr>
              <w:t>neutral, wenn Abhilfeplan vorhanden</w:t>
            </w:r>
          </w:p>
        </w:tc>
        <w:tc>
          <w:tcPr>
            <w:tcW w:type="dxa" w:w="3360"/>
          </w:tcPr>
          <w:p>
            <w:r>
              <w:rPr>
                <w:rFonts w:ascii="Arial" w:hAnsi="Arial"/>
                <w:color w:val="252A2E"/>
                <w:sz w:val="16"/>
              </w:rPr>
              <w:t>Förder-/Sanierungsfahrplan</w:t>
            </w:r>
          </w:p>
        </w:tc>
      </w:tr>
      <w:tr>
        <w:tc>
          <w:tcPr>
            <w:tcW w:type="dxa" w:w="3360"/>
          </w:tcPr>
          <w:p>
            <w:r>
              <w:rPr>
                <w:rFonts w:ascii="Arial" w:hAnsi="Arial"/>
                <w:color w:val="252A2E"/>
                <w:sz w:val="16"/>
              </w:rPr>
              <w:t>Erb-/Rechtsklärung</w:t>
            </w:r>
          </w:p>
        </w:tc>
        <w:tc>
          <w:tcPr>
            <w:tcW w:type="dxa" w:w="3360"/>
          </w:tcPr>
          <w:p>
            <w:r>
              <w:rPr>
                <w:rFonts w:ascii="Arial" w:hAnsi="Arial"/>
                <w:color w:val="252A2E"/>
                <w:sz w:val="16"/>
              </w:rPr>
              <w:t>neutral befristet</w:t>
            </w:r>
          </w:p>
        </w:tc>
        <w:tc>
          <w:tcPr>
            <w:tcW w:type="dxa" w:w="3360"/>
          </w:tcPr>
          <w:p>
            <w:r>
              <w:rPr>
                <w:rFonts w:ascii="Arial" w:hAnsi="Arial"/>
                <w:color w:val="252A2E"/>
                <w:sz w:val="16"/>
              </w:rPr>
              <w:t>Frist und Transparenz</w:t>
            </w:r>
          </w:p>
        </w:tc>
      </w:tr>
      <w:tr>
        <w:tc>
          <w:tcPr>
            <w:tcW w:type="dxa" w:w="3360"/>
          </w:tcPr>
          <w:p>
            <w:r>
              <w:rPr>
                <w:rFonts w:ascii="Arial" w:hAnsi="Arial"/>
                <w:color w:val="252A2E"/>
                <w:sz w:val="16"/>
              </w:rPr>
              <w:t>Spekulativer Leerstand</w:t>
            </w:r>
          </w:p>
        </w:tc>
        <w:tc>
          <w:tcPr>
            <w:tcW w:type="dxa" w:w="3360"/>
          </w:tcPr>
          <w:p>
            <w:r>
              <w:rPr>
                <w:rFonts w:ascii="Arial" w:hAnsi="Arial"/>
                <w:color w:val="252A2E"/>
                <w:sz w:val="16"/>
              </w:rPr>
              <w:t>negativ</w:t>
            </w:r>
          </w:p>
        </w:tc>
        <w:tc>
          <w:tcPr>
            <w:tcW w:type="dxa" w:w="3360"/>
          </w:tcPr>
          <w:p>
            <w:r>
              <w:rPr>
                <w:rFonts w:ascii="Arial" w:hAnsi="Arial"/>
                <w:color w:val="252A2E"/>
                <w:sz w:val="16"/>
              </w:rPr>
              <w:t>Malus, Zweckentfremdung, Aktivierung</w:t>
            </w:r>
          </w:p>
        </w:tc>
      </w:tr>
      <w:tr>
        <w:tc>
          <w:tcPr>
            <w:tcW w:type="dxa" w:w="3360"/>
          </w:tcPr>
          <w:p>
            <w:r>
              <w:rPr>
                <w:rFonts w:ascii="Arial" w:hAnsi="Arial"/>
                <w:color w:val="252A2E"/>
                <w:sz w:val="16"/>
              </w:rPr>
              <w:t>Ferien-/Kurzzeitnutzung in angespanntem Markt</w:t>
            </w:r>
          </w:p>
        </w:tc>
        <w:tc>
          <w:tcPr>
            <w:tcW w:type="dxa" w:w="3360"/>
          </w:tcPr>
          <w:p>
            <w:r>
              <w:rPr>
                <w:rFonts w:ascii="Arial" w:hAnsi="Arial"/>
                <w:color w:val="252A2E"/>
                <w:sz w:val="16"/>
              </w:rPr>
              <w:t>negativ bis stark negativ</w:t>
            </w:r>
          </w:p>
        </w:tc>
        <w:tc>
          <w:tcPr>
            <w:tcW w:type="dxa" w:w="3360"/>
          </w:tcPr>
          <w:p>
            <w:r>
              <w:rPr>
                <w:rFonts w:ascii="Arial" w:hAnsi="Arial"/>
                <w:color w:val="252A2E"/>
                <w:sz w:val="16"/>
              </w:rPr>
              <w:t>Genehmigung, Kontingent, Rückführung</w:t>
            </w:r>
          </w:p>
        </w:tc>
      </w:tr>
    </w:tbl>
    <w:p/>
    <w:p>
      <w:pPr>
        <w:pStyle w:val="Heading1"/>
      </w:pPr>
      <w:r>
        <w:t>6. Fallstudie 4: Stranded Asset im Altbestand</w:t>
      </w:r>
    </w:p>
    <w:p>
      <w:pPr>
        <w:spacing w:after="120" w:line="271" w:lineRule="auto"/>
      </w:pPr>
      <w:r>
        <w:rPr>
          <w:rFonts w:ascii="Arial" w:hAnsi="Arial"/>
          <w:b w:val="0"/>
          <w:color w:val="252A2E"/>
          <w:sz w:val="20"/>
        </w:rPr>
        <w:t>Ein Altbau mit fossiler Heizung, schlechter Gebäudehülle und hoher Warmmietenlast weist ein hohes Übergangsrisiko auf. CO2-Kosten, EPBD-Pfade, GEG-Anforderungen, Finanzierungskriterien und Mieterpräferenzen können den Wert und die Vermietbarkeit beeinträchtigen.</w:t>
      </w:r>
    </w:p>
    <w:p>
      <w:pPr>
        <w:spacing w:after="120" w:line="271" w:lineRule="auto"/>
      </w:pPr>
      <w:r>
        <w:rPr>
          <w:rFonts w:ascii="Arial" w:hAnsi="Arial"/>
          <w:b w:val="0"/>
          <w:color w:val="252A2E"/>
          <w:sz w:val="20"/>
        </w:rPr>
        <w:t>Der WÖk-Pfad besteht aus Sanierungsfahrplan, Kapitalzugang, Schutz der Mieterschaft, Energie- und Gesundheitsverbesserung sowie Quartiersintegration. Ziel ist nicht maximale Modernisierungsmiete, sondern Wertstabilität durch positive Wohnwirkung.</w:t>
      </w:r>
    </w:p>
    <w:p>
      <w:pPr>
        <w:pStyle w:val="Heading1"/>
      </w:pPr>
      <w:r>
        <w:t>7. Fallstudie 5: Neubau mit sozialem Stranding-Risiko</w:t>
      </w:r>
    </w:p>
    <w:p>
      <w:pPr>
        <w:spacing w:after="120" w:line="271" w:lineRule="auto"/>
      </w:pPr>
      <w:r>
        <w:rPr>
          <w:rFonts w:ascii="Arial" w:hAnsi="Arial"/>
          <w:b w:val="0"/>
          <w:color w:val="252A2E"/>
          <w:sz w:val="20"/>
        </w:rPr>
        <w:t>Ein Neubau kann energetisch effizient, aber sozial und systemisch problematisch sein. Hohe graue Emissionen, exklusive Mietpreise, fehlende Barrierefreiheit, Hitzebelastung oder schlechte Quartiersintegration können zu Wirkungsrisiken führen.</w:t>
      </w:r>
    </w:p>
    <w:p>
      <w:pPr>
        <w:spacing w:after="120" w:line="271" w:lineRule="auto"/>
      </w:pPr>
      <w:r>
        <w:rPr>
          <w:rFonts w:ascii="Arial" w:hAnsi="Arial"/>
          <w:b w:val="0"/>
          <w:color w:val="252A2E"/>
          <w:sz w:val="20"/>
        </w:rPr>
        <w:t>Wirkungsökonomisch muss Neubau daher über Lebenszyklus, Materialwirkung, soziale Nutzbarkeit, Warmmietenbelastung, Resilienz und Quartiersbezug bewertet werden.</w:t>
      </w:r>
    </w:p>
    <w:p>
      <w:pPr>
        <w:pStyle w:val="Heading1"/>
      </w:pPr>
      <w:r>
        <w:t>8. Musterrechnung WIX-VI</w:t>
      </w:r>
    </w:p>
    <w:p>
      <w:pPr>
        <w:spacing w:after="120" w:line="271" w:lineRule="auto"/>
      </w:pPr>
      <w:r>
        <w:rPr>
          <w:rFonts w:ascii="Arial" w:hAnsi="Arial"/>
          <w:b w:val="0"/>
          <w:color w:val="252A2E"/>
          <w:sz w:val="20"/>
        </w:rPr>
        <w:t>Die Musterrechnung zeigt eine positive Sanierung mit Warmmietenentlastung. Die Werte sind Arbeitsannahmen. In einer späteren Methodik müssen Benchmarks, Schwellen und Datenqualitätsstufen definiert werden.</w:t>
      </w:r>
    </w:p>
    <w:tbl>
      <w:tblPr>
        <w:tblStyle w:val="TableGrid"/>
        <w:tblW w:type="auto" w:w="0"/>
        <w:jc w:val="center"/>
        <w:tblLook w:firstColumn="1" w:firstRow="1" w:lastColumn="0" w:lastRow="0" w:noHBand="0" w:noVBand="1" w:val="04A0"/>
      </w:tblPr>
      <w:tblGrid>
        <w:gridCol w:w="2016"/>
        <w:gridCol w:w="2016"/>
        <w:gridCol w:w="2016"/>
        <w:gridCol w:w="2016"/>
        <w:gridCol w:w="2016"/>
      </w:tblGrid>
      <w:tr>
        <w:tc>
          <w:tcPr>
            <w:tcW w:type="dxa" w:w="2016"/>
            <w:shd w:fill="001D30"/>
          </w:tcPr>
          <w:p>
            <w:r>
              <w:rPr>
                <w:rFonts w:ascii="Arial" w:hAnsi="Arial"/>
                <w:b/>
                <w:color w:val="FFFFFF"/>
                <w:sz w:val="16"/>
              </w:rPr>
              <w:t>Feld</w:t>
            </w:r>
          </w:p>
        </w:tc>
        <w:tc>
          <w:tcPr>
            <w:tcW w:type="dxa" w:w="2016"/>
            <w:shd w:fill="001D30"/>
          </w:tcPr>
          <w:p>
            <w:r>
              <w:rPr>
                <w:rFonts w:ascii="Arial" w:hAnsi="Arial"/>
                <w:b/>
                <w:color w:val="FFFFFF"/>
                <w:sz w:val="16"/>
              </w:rPr>
              <w:t>Score</w:t>
            </w:r>
          </w:p>
        </w:tc>
        <w:tc>
          <w:tcPr>
            <w:tcW w:type="dxa" w:w="2016"/>
            <w:shd w:fill="001D30"/>
          </w:tcPr>
          <w:p>
            <w:r>
              <w:rPr>
                <w:rFonts w:ascii="Arial" w:hAnsi="Arial"/>
                <w:b/>
                <w:color w:val="FFFFFF"/>
                <w:sz w:val="16"/>
              </w:rPr>
              <w:t>Gewicht</w:t>
            </w:r>
          </w:p>
        </w:tc>
        <w:tc>
          <w:tcPr>
            <w:tcW w:type="dxa" w:w="2016"/>
            <w:shd w:fill="001D30"/>
          </w:tcPr>
          <w:p>
            <w:r>
              <w:rPr>
                <w:rFonts w:ascii="Arial" w:hAnsi="Arial"/>
                <w:b/>
                <w:color w:val="FFFFFF"/>
                <w:sz w:val="16"/>
              </w:rPr>
              <w:t>Teilwert</w:t>
            </w:r>
          </w:p>
        </w:tc>
        <w:tc>
          <w:tcPr>
            <w:tcW w:type="dxa" w:w="2016"/>
            <w:shd w:fill="001D30"/>
          </w:tcPr>
          <w:p>
            <w:r>
              <w:rPr>
                <w:rFonts w:ascii="Arial" w:hAnsi="Arial"/>
                <w:b/>
                <w:color w:val="FFFFFF"/>
                <w:sz w:val="16"/>
              </w:rPr>
              <w:t>Nachweis</w:t>
            </w:r>
          </w:p>
        </w:tc>
      </w:tr>
      <w:tr>
        <w:tc>
          <w:tcPr>
            <w:tcW w:type="dxa" w:w="2016"/>
          </w:tcPr>
          <w:p>
            <w:r>
              <w:rPr>
                <w:rFonts w:ascii="Arial" w:hAnsi="Arial"/>
                <w:color w:val="252A2E"/>
                <w:sz w:val="16"/>
              </w:rPr>
              <w:t>Klima &amp; Energie</w:t>
            </w:r>
          </w:p>
        </w:tc>
        <w:tc>
          <w:tcPr>
            <w:tcW w:type="dxa" w:w="2016"/>
          </w:tcPr>
          <w:p>
            <w:r>
              <w:rPr>
                <w:rFonts w:ascii="Arial" w:hAnsi="Arial"/>
                <w:color w:val="252A2E"/>
                <w:sz w:val="16"/>
              </w:rPr>
              <w:t>+2</w:t>
            </w:r>
          </w:p>
        </w:tc>
        <w:tc>
          <w:tcPr>
            <w:tcW w:type="dxa" w:w="2016"/>
          </w:tcPr>
          <w:p>
            <w:r>
              <w:rPr>
                <w:rFonts w:ascii="Arial" w:hAnsi="Arial"/>
                <w:color w:val="252A2E"/>
                <w:sz w:val="16"/>
              </w:rPr>
              <w:t>25 %</w:t>
            </w:r>
          </w:p>
        </w:tc>
        <w:tc>
          <w:tcPr>
            <w:tcW w:type="dxa" w:w="2016"/>
          </w:tcPr>
          <w:p>
            <w:r>
              <w:rPr>
                <w:rFonts w:ascii="Arial" w:hAnsi="Arial"/>
                <w:color w:val="252A2E"/>
                <w:sz w:val="16"/>
              </w:rPr>
              <w:t>+0,50</w:t>
            </w:r>
          </w:p>
        </w:tc>
        <w:tc>
          <w:tcPr>
            <w:tcW w:type="dxa" w:w="2016"/>
          </w:tcPr>
          <w:p>
            <w:r>
              <w:rPr>
                <w:rFonts w:ascii="Arial" w:hAnsi="Arial"/>
                <w:color w:val="252A2E"/>
                <w:sz w:val="16"/>
              </w:rPr>
              <w:t>Energieausweis, Verbrauch, Sanierung</w:t>
            </w:r>
          </w:p>
        </w:tc>
      </w:tr>
      <w:tr>
        <w:tc>
          <w:tcPr>
            <w:tcW w:type="dxa" w:w="2016"/>
          </w:tcPr>
          <w:p>
            <w:r>
              <w:rPr>
                <w:rFonts w:ascii="Arial" w:hAnsi="Arial"/>
                <w:color w:val="252A2E"/>
                <w:sz w:val="16"/>
              </w:rPr>
              <w:t>Bezahlbarkeit</w:t>
            </w:r>
          </w:p>
        </w:tc>
        <w:tc>
          <w:tcPr>
            <w:tcW w:type="dxa" w:w="2016"/>
          </w:tcPr>
          <w:p>
            <w:r>
              <w:rPr>
                <w:rFonts w:ascii="Arial" w:hAnsi="Arial"/>
                <w:color w:val="252A2E"/>
                <w:sz w:val="16"/>
              </w:rPr>
              <w:t>+1</w:t>
            </w:r>
          </w:p>
        </w:tc>
        <w:tc>
          <w:tcPr>
            <w:tcW w:type="dxa" w:w="2016"/>
          </w:tcPr>
          <w:p>
            <w:r>
              <w:rPr>
                <w:rFonts w:ascii="Arial" w:hAnsi="Arial"/>
                <w:color w:val="252A2E"/>
                <w:sz w:val="16"/>
              </w:rPr>
              <w:t>25 %</w:t>
            </w:r>
          </w:p>
        </w:tc>
        <w:tc>
          <w:tcPr>
            <w:tcW w:type="dxa" w:w="2016"/>
          </w:tcPr>
          <w:p>
            <w:r>
              <w:rPr>
                <w:rFonts w:ascii="Arial" w:hAnsi="Arial"/>
                <w:color w:val="252A2E"/>
                <w:sz w:val="16"/>
              </w:rPr>
              <w:t>+0,25</w:t>
            </w:r>
          </w:p>
        </w:tc>
        <w:tc>
          <w:tcPr>
            <w:tcW w:type="dxa" w:w="2016"/>
          </w:tcPr>
          <w:p>
            <w:r>
              <w:rPr>
                <w:rFonts w:ascii="Arial" w:hAnsi="Arial"/>
                <w:color w:val="252A2E"/>
                <w:sz w:val="16"/>
              </w:rPr>
              <w:t>Warmmietenlast sinkt</w:t>
            </w:r>
          </w:p>
        </w:tc>
      </w:tr>
      <w:tr>
        <w:tc>
          <w:tcPr>
            <w:tcW w:type="dxa" w:w="2016"/>
          </w:tcPr>
          <w:p>
            <w:r>
              <w:rPr>
                <w:rFonts w:ascii="Arial" w:hAnsi="Arial"/>
                <w:color w:val="252A2E"/>
                <w:sz w:val="16"/>
              </w:rPr>
              <w:t>Gesundheit</w:t>
            </w:r>
          </w:p>
        </w:tc>
        <w:tc>
          <w:tcPr>
            <w:tcW w:type="dxa" w:w="2016"/>
          </w:tcPr>
          <w:p>
            <w:r>
              <w:rPr>
                <w:rFonts w:ascii="Arial" w:hAnsi="Arial"/>
                <w:color w:val="252A2E"/>
                <w:sz w:val="16"/>
              </w:rPr>
              <w:t>+1</w:t>
            </w:r>
          </w:p>
        </w:tc>
        <w:tc>
          <w:tcPr>
            <w:tcW w:type="dxa" w:w="2016"/>
          </w:tcPr>
          <w:p>
            <w:r>
              <w:rPr>
                <w:rFonts w:ascii="Arial" w:hAnsi="Arial"/>
                <w:color w:val="252A2E"/>
                <w:sz w:val="16"/>
              </w:rPr>
              <w:t>12 %</w:t>
            </w:r>
          </w:p>
        </w:tc>
        <w:tc>
          <w:tcPr>
            <w:tcW w:type="dxa" w:w="2016"/>
          </w:tcPr>
          <w:p>
            <w:r>
              <w:rPr>
                <w:rFonts w:ascii="Arial" w:hAnsi="Arial"/>
                <w:color w:val="252A2E"/>
                <w:sz w:val="16"/>
              </w:rPr>
              <w:t>+0,12</w:t>
            </w:r>
          </w:p>
        </w:tc>
        <w:tc>
          <w:tcPr>
            <w:tcW w:type="dxa" w:w="2016"/>
          </w:tcPr>
          <w:p>
            <w:r>
              <w:rPr>
                <w:rFonts w:ascii="Arial" w:hAnsi="Arial"/>
                <w:color w:val="252A2E"/>
                <w:sz w:val="16"/>
              </w:rPr>
              <w:t>Schimmel-/Luft-/Hitzeschutz</w:t>
            </w:r>
          </w:p>
        </w:tc>
      </w:tr>
      <w:tr>
        <w:tc>
          <w:tcPr>
            <w:tcW w:type="dxa" w:w="2016"/>
          </w:tcPr>
          <w:p>
            <w:r>
              <w:rPr>
                <w:rFonts w:ascii="Arial" w:hAnsi="Arial"/>
                <w:color w:val="252A2E"/>
                <w:sz w:val="16"/>
              </w:rPr>
              <w:t>Soziale Stabilität</w:t>
            </w:r>
          </w:p>
        </w:tc>
        <w:tc>
          <w:tcPr>
            <w:tcW w:type="dxa" w:w="2016"/>
          </w:tcPr>
          <w:p>
            <w:r>
              <w:rPr>
                <w:rFonts w:ascii="Arial" w:hAnsi="Arial"/>
                <w:color w:val="252A2E"/>
                <w:sz w:val="16"/>
              </w:rPr>
              <w:t>+2</w:t>
            </w:r>
          </w:p>
        </w:tc>
        <w:tc>
          <w:tcPr>
            <w:tcW w:type="dxa" w:w="2016"/>
          </w:tcPr>
          <w:p>
            <w:r>
              <w:rPr>
                <w:rFonts w:ascii="Arial" w:hAnsi="Arial"/>
                <w:color w:val="252A2E"/>
                <w:sz w:val="16"/>
              </w:rPr>
              <w:t>15 %</w:t>
            </w:r>
          </w:p>
        </w:tc>
        <w:tc>
          <w:tcPr>
            <w:tcW w:type="dxa" w:w="2016"/>
          </w:tcPr>
          <w:p>
            <w:r>
              <w:rPr>
                <w:rFonts w:ascii="Arial" w:hAnsi="Arial"/>
                <w:color w:val="252A2E"/>
                <w:sz w:val="16"/>
              </w:rPr>
              <w:t>+0,30</w:t>
            </w:r>
          </w:p>
        </w:tc>
        <w:tc>
          <w:tcPr>
            <w:tcW w:type="dxa" w:w="2016"/>
          </w:tcPr>
          <w:p>
            <w:r>
              <w:rPr>
                <w:rFonts w:ascii="Arial" w:hAnsi="Arial"/>
                <w:color w:val="252A2E"/>
                <w:sz w:val="16"/>
              </w:rPr>
              <w:t>keine Verdrängung, Beteiligung</w:t>
            </w:r>
          </w:p>
        </w:tc>
      </w:tr>
      <w:tr>
        <w:tc>
          <w:tcPr>
            <w:tcW w:type="dxa" w:w="2016"/>
          </w:tcPr>
          <w:p>
            <w:r>
              <w:rPr>
                <w:rFonts w:ascii="Arial" w:hAnsi="Arial"/>
                <w:color w:val="252A2E"/>
                <w:sz w:val="16"/>
              </w:rPr>
              <w:t>Quartier</w:t>
            </w:r>
          </w:p>
        </w:tc>
        <w:tc>
          <w:tcPr>
            <w:tcW w:type="dxa" w:w="2016"/>
          </w:tcPr>
          <w:p>
            <w:r>
              <w:rPr>
                <w:rFonts w:ascii="Arial" w:hAnsi="Arial"/>
                <w:color w:val="252A2E"/>
                <w:sz w:val="16"/>
              </w:rPr>
              <w:t>+1</w:t>
            </w:r>
          </w:p>
        </w:tc>
        <w:tc>
          <w:tcPr>
            <w:tcW w:type="dxa" w:w="2016"/>
          </w:tcPr>
          <w:p>
            <w:r>
              <w:rPr>
                <w:rFonts w:ascii="Arial" w:hAnsi="Arial"/>
                <w:color w:val="252A2E"/>
                <w:sz w:val="16"/>
              </w:rPr>
              <w:t>10 %</w:t>
            </w:r>
          </w:p>
        </w:tc>
        <w:tc>
          <w:tcPr>
            <w:tcW w:type="dxa" w:w="2016"/>
          </w:tcPr>
          <w:p>
            <w:r>
              <w:rPr>
                <w:rFonts w:ascii="Arial" w:hAnsi="Arial"/>
                <w:color w:val="252A2E"/>
                <w:sz w:val="16"/>
              </w:rPr>
              <w:t>+0,10</w:t>
            </w:r>
          </w:p>
        </w:tc>
        <w:tc>
          <w:tcPr>
            <w:tcW w:type="dxa" w:w="2016"/>
          </w:tcPr>
          <w:p>
            <w:r>
              <w:rPr>
                <w:rFonts w:ascii="Arial" w:hAnsi="Arial"/>
                <w:color w:val="252A2E"/>
                <w:sz w:val="16"/>
              </w:rPr>
              <w:t>Mobilität, Grün, Versorgung</w:t>
            </w:r>
          </w:p>
        </w:tc>
      </w:tr>
      <w:tr>
        <w:tc>
          <w:tcPr>
            <w:tcW w:type="dxa" w:w="2016"/>
          </w:tcPr>
          <w:p>
            <w:r>
              <w:rPr>
                <w:rFonts w:ascii="Arial" w:hAnsi="Arial"/>
                <w:color w:val="252A2E"/>
                <w:sz w:val="16"/>
              </w:rPr>
              <w:t>Governance</w:t>
            </w:r>
          </w:p>
        </w:tc>
        <w:tc>
          <w:tcPr>
            <w:tcW w:type="dxa" w:w="2016"/>
          </w:tcPr>
          <w:p>
            <w:r>
              <w:rPr>
                <w:rFonts w:ascii="Arial" w:hAnsi="Arial"/>
                <w:color w:val="252A2E"/>
                <w:sz w:val="16"/>
              </w:rPr>
              <w:t>+2</w:t>
            </w:r>
          </w:p>
        </w:tc>
        <w:tc>
          <w:tcPr>
            <w:tcW w:type="dxa" w:w="2016"/>
          </w:tcPr>
          <w:p>
            <w:r>
              <w:rPr>
                <w:rFonts w:ascii="Arial" w:hAnsi="Arial"/>
                <w:color w:val="252A2E"/>
                <w:sz w:val="16"/>
              </w:rPr>
              <w:t>8 %</w:t>
            </w:r>
          </w:p>
        </w:tc>
        <w:tc>
          <w:tcPr>
            <w:tcW w:type="dxa" w:w="2016"/>
          </w:tcPr>
          <w:p>
            <w:r>
              <w:rPr>
                <w:rFonts w:ascii="Arial" w:hAnsi="Arial"/>
                <w:color w:val="252A2E"/>
                <w:sz w:val="16"/>
              </w:rPr>
              <w:t>+0,16</w:t>
            </w:r>
          </w:p>
        </w:tc>
        <w:tc>
          <w:tcPr>
            <w:tcW w:type="dxa" w:w="2016"/>
          </w:tcPr>
          <w:p>
            <w:r>
              <w:rPr>
                <w:rFonts w:ascii="Arial" w:hAnsi="Arial"/>
                <w:color w:val="252A2E"/>
                <w:sz w:val="16"/>
              </w:rPr>
              <w:t>transparente Kosten und Eigentümerdaten</w:t>
            </w:r>
          </w:p>
        </w:tc>
      </w:tr>
      <w:tr>
        <w:tc>
          <w:tcPr>
            <w:tcW w:type="dxa" w:w="2016"/>
          </w:tcPr>
          <w:p>
            <w:r>
              <w:rPr>
                <w:rFonts w:ascii="Arial" w:hAnsi="Arial"/>
                <w:color w:val="252A2E"/>
                <w:sz w:val="16"/>
              </w:rPr>
              <w:t>Spekulationsrisiko</w:t>
            </w:r>
          </w:p>
        </w:tc>
        <w:tc>
          <w:tcPr>
            <w:tcW w:type="dxa" w:w="2016"/>
          </w:tcPr>
          <w:p>
            <w:r>
              <w:rPr>
                <w:rFonts w:ascii="Arial" w:hAnsi="Arial"/>
                <w:color w:val="252A2E"/>
                <w:sz w:val="16"/>
              </w:rPr>
              <w:t>+3</w:t>
            </w:r>
          </w:p>
        </w:tc>
        <w:tc>
          <w:tcPr>
            <w:tcW w:type="dxa" w:w="2016"/>
          </w:tcPr>
          <w:p>
            <w:r>
              <w:rPr>
                <w:rFonts w:ascii="Arial" w:hAnsi="Arial"/>
                <w:color w:val="252A2E"/>
                <w:sz w:val="16"/>
              </w:rPr>
              <w:t>5 %</w:t>
            </w:r>
          </w:p>
        </w:tc>
        <w:tc>
          <w:tcPr>
            <w:tcW w:type="dxa" w:w="2016"/>
          </w:tcPr>
          <w:p>
            <w:r>
              <w:rPr>
                <w:rFonts w:ascii="Arial" w:hAnsi="Arial"/>
                <w:color w:val="252A2E"/>
                <w:sz w:val="16"/>
              </w:rPr>
              <w:t>+0,15</w:t>
            </w:r>
          </w:p>
        </w:tc>
        <w:tc>
          <w:tcPr>
            <w:tcW w:type="dxa" w:w="2016"/>
          </w:tcPr>
          <w:p>
            <w:r>
              <w:rPr>
                <w:rFonts w:ascii="Arial" w:hAnsi="Arial"/>
                <w:color w:val="252A2E"/>
                <w:sz w:val="16"/>
              </w:rPr>
              <w:t>kein Leerstand, Langfristigkeit</w:t>
            </w:r>
          </w:p>
        </w:tc>
      </w:tr>
      <w:tr>
        <w:tc>
          <w:tcPr>
            <w:tcW w:type="dxa" w:w="2016"/>
          </w:tcPr>
          <w:p>
            <w:r>
              <w:rPr>
                <w:rFonts w:ascii="Arial" w:hAnsi="Arial"/>
                <w:color w:val="252A2E"/>
                <w:sz w:val="16"/>
              </w:rPr>
              <w:t>Gesamt WIX-VI</w:t>
            </w:r>
          </w:p>
        </w:tc>
        <w:tc>
          <w:tcPr>
            <w:tcW w:type="dxa" w:w="2016"/>
          </w:tcPr>
          <w:p>
            <w:r>
              <w:rPr>
                <w:rFonts w:ascii="Arial" w:hAnsi="Arial"/>
                <w:color w:val="252A2E"/>
                <w:sz w:val="16"/>
              </w:rPr>
            </w:r>
          </w:p>
        </w:tc>
        <w:tc>
          <w:tcPr>
            <w:tcW w:type="dxa" w:w="2016"/>
          </w:tcPr>
          <w:p>
            <w:r>
              <w:rPr>
                <w:rFonts w:ascii="Arial" w:hAnsi="Arial"/>
                <w:color w:val="252A2E"/>
                <w:sz w:val="16"/>
              </w:rPr>
              <w:t>100 %</w:t>
            </w:r>
          </w:p>
        </w:tc>
        <w:tc>
          <w:tcPr>
            <w:tcW w:type="dxa" w:w="2016"/>
          </w:tcPr>
          <w:p>
            <w:r>
              <w:rPr>
                <w:rFonts w:ascii="Arial" w:hAnsi="Arial"/>
                <w:color w:val="252A2E"/>
                <w:sz w:val="16"/>
              </w:rPr>
              <w:t>+1,48</w:t>
            </w:r>
          </w:p>
        </w:tc>
        <w:tc>
          <w:tcPr>
            <w:tcW w:type="dxa" w:w="2016"/>
          </w:tcPr>
          <w:p>
            <w:r>
              <w:rPr>
                <w:rFonts w:ascii="Arial" w:hAnsi="Arial"/>
                <w:color w:val="252A2E"/>
                <w:sz w:val="16"/>
              </w:rPr>
              <w:t>Bonus-/Förderkorridor</w:t>
            </w:r>
          </w:p>
        </w:tc>
      </w:tr>
    </w:tbl>
    <w:p/>
    <w:p>
      <w:pPr>
        <w:spacing w:after="120" w:line="271" w:lineRule="auto"/>
      </w:pPr>
      <w:r>
        <w:rPr>
          <w:rFonts w:ascii="Arial" w:hAnsi="Arial"/>
          <w:b w:val="0"/>
          <w:color w:val="252A2E"/>
          <w:sz w:val="20"/>
        </w:rPr>
        <w:t>Formel: WIX-VI = Summe aus Score_i × Gewicht_i. Zusätzlich gilt eine Schutzregel: Ein kritischer Score von –3 in Verdrängung, Sicherheit, Leerstand oder Rechtsverstoß kann eine positive Durchschnittsbewertung begrenzen.</w:t>
      </w:r>
    </w:p>
    <w:p>
      <w:pPr>
        <w:pStyle w:val="Heading1"/>
      </w:pPr>
      <w:r>
        <w:t>9. Anreizmatrix</w:t>
      </w:r>
    </w:p>
    <w:p>
      <w:pPr>
        <w:spacing w:after="120" w:line="271" w:lineRule="auto"/>
      </w:pPr>
      <w:r>
        <w:rPr>
          <w:rFonts w:ascii="Arial" w:hAnsi="Arial"/>
          <w:b w:val="0"/>
          <w:color w:val="252A2E"/>
          <w:sz w:val="20"/>
        </w:rPr>
        <w:t>Die Anreizmatrix zeigt, wie der Score in wirtschaftliche Rückkopplungen übersetzt werden kann. Sie ist politisch gestaltbar und nicht als abschließender Steuersatzkatalog zu verstehen.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Score</w:t>
            </w:r>
          </w:p>
        </w:tc>
        <w:tc>
          <w:tcPr>
            <w:tcW w:type="dxa" w:w="3360"/>
            <w:shd w:fill="001D30"/>
          </w:tcPr>
          <w:p>
            <w:r>
              <w:rPr>
                <w:rFonts w:ascii="Arial" w:hAnsi="Arial"/>
                <w:b/>
                <w:color w:val="FFFFFF"/>
                <w:sz w:val="16"/>
              </w:rPr>
              <w:t>Einordnung</w:t>
            </w:r>
          </w:p>
        </w:tc>
        <w:tc>
          <w:tcPr>
            <w:tcW w:type="dxa" w:w="3360"/>
            <w:shd w:fill="001D30"/>
          </w:tcPr>
          <w:p>
            <w:r>
              <w:rPr>
                <w:rFonts w:ascii="Arial" w:hAnsi="Arial"/>
                <w:b/>
                <w:color w:val="FFFFFF"/>
                <w:sz w:val="16"/>
              </w:rPr>
              <w:t>Mögliche Rückkopplung</w:t>
            </w:r>
          </w:p>
        </w:tc>
      </w:tr>
      <w:tr>
        <w:tc>
          <w:tcPr>
            <w:tcW w:type="dxa" w:w="3360"/>
          </w:tcPr>
          <w:p>
            <w:r>
              <w:rPr>
                <w:rFonts w:ascii="Arial" w:hAnsi="Arial"/>
                <w:color w:val="252A2E"/>
                <w:sz w:val="16"/>
              </w:rPr>
              <w:t>+2 bis +3</w:t>
            </w:r>
          </w:p>
        </w:tc>
        <w:tc>
          <w:tcPr>
            <w:tcW w:type="dxa" w:w="3360"/>
          </w:tcPr>
          <w:p>
            <w:r>
              <w:rPr>
                <w:rFonts w:ascii="Arial" w:hAnsi="Arial"/>
                <w:color w:val="252A2E"/>
                <w:sz w:val="16"/>
              </w:rPr>
              <w:t>vorbildliche Wohnwirkung</w:t>
            </w:r>
          </w:p>
        </w:tc>
        <w:tc>
          <w:tcPr>
            <w:tcW w:type="dxa" w:w="3360"/>
          </w:tcPr>
          <w:p>
            <w:r>
              <w:rPr>
                <w:rFonts w:ascii="Arial" w:hAnsi="Arial"/>
                <w:color w:val="252A2E"/>
                <w:sz w:val="16"/>
              </w:rPr>
              <w:t>Steuer-/Förderbonus, günstiges Kapital, Positivlabel</w:t>
            </w:r>
          </w:p>
        </w:tc>
      </w:tr>
      <w:tr>
        <w:tc>
          <w:tcPr>
            <w:tcW w:type="dxa" w:w="3360"/>
          </w:tcPr>
          <w:p>
            <w:r>
              <w:rPr>
                <w:rFonts w:ascii="Arial" w:hAnsi="Arial"/>
                <w:color w:val="252A2E"/>
                <w:sz w:val="16"/>
              </w:rPr>
              <w:t>+1</w:t>
            </w:r>
          </w:p>
        </w:tc>
        <w:tc>
          <w:tcPr>
            <w:tcW w:type="dxa" w:w="3360"/>
          </w:tcPr>
          <w:p>
            <w:r>
              <w:rPr>
                <w:rFonts w:ascii="Arial" w:hAnsi="Arial"/>
                <w:color w:val="252A2E"/>
                <w:sz w:val="16"/>
              </w:rPr>
              <w:t>positive Entwicklung</w:t>
            </w:r>
          </w:p>
        </w:tc>
        <w:tc>
          <w:tcPr>
            <w:tcW w:type="dxa" w:w="3360"/>
          </w:tcPr>
          <w:p>
            <w:r>
              <w:rPr>
                <w:rFonts w:ascii="Arial" w:hAnsi="Arial"/>
                <w:color w:val="252A2E"/>
                <w:sz w:val="16"/>
              </w:rPr>
              <w:t>Förderfähigkeit, zinsverbilligte Kredite</w:t>
            </w:r>
          </w:p>
        </w:tc>
      </w:tr>
      <w:tr>
        <w:tc>
          <w:tcPr>
            <w:tcW w:type="dxa" w:w="3360"/>
          </w:tcPr>
          <w:p>
            <w:r>
              <w:rPr>
                <w:rFonts w:ascii="Arial" w:hAnsi="Arial"/>
                <w:color w:val="252A2E"/>
                <w:sz w:val="16"/>
              </w:rPr>
              <w:t>0</w:t>
            </w:r>
          </w:p>
        </w:tc>
        <w:tc>
          <w:tcPr>
            <w:tcW w:type="dxa" w:w="3360"/>
          </w:tcPr>
          <w:p>
            <w:r>
              <w:rPr>
                <w:rFonts w:ascii="Arial" w:hAnsi="Arial"/>
                <w:color w:val="252A2E"/>
                <w:sz w:val="16"/>
              </w:rPr>
              <w:t>neutral</w:t>
            </w:r>
          </w:p>
        </w:tc>
        <w:tc>
          <w:tcPr>
            <w:tcW w:type="dxa" w:w="3360"/>
          </w:tcPr>
          <w:p>
            <w:r>
              <w:rPr>
                <w:rFonts w:ascii="Arial" w:hAnsi="Arial"/>
                <w:color w:val="252A2E"/>
                <w:sz w:val="16"/>
              </w:rPr>
              <w:t>Standardbehandlung, Beratung</w:t>
            </w:r>
          </w:p>
        </w:tc>
      </w:tr>
      <w:tr>
        <w:tc>
          <w:tcPr>
            <w:tcW w:type="dxa" w:w="3360"/>
          </w:tcPr>
          <w:p>
            <w:r>
              <w:rPr>
                <w:rFonts w:ascii="Arial" w:hAnsi="Arial"/>
                <w:color w:val="252A2E"/>
                <w:sz w:val="16"/>
              </w:rPr>
              <w:t>–1</w:t>
            </w:r>
          </w:p>
        </w:tc>
        <w:tc>
          <w:tcPr>
            <w:tcW w:type="dxa" w:w="3360"/>
          </w:tcPr>
          <w:p>
            <w:r>
              <w:rPr>
                <w:rFonts w:ascii="Arial" w:hAnsi="Arial"/>
                <w:color w:val="252A2E"/>
                <w:sz w:val="16"/>
              </w:rPr>
              <w:t>Korrekturbedarf</w:t>
            </w:r>
          </w:p>
        </w:tc>
        <w:tc>
          <w:tcPr>
            <w:tcW w:type="dxa" w:w="3360"/>
          </w:tcPr>
          <w:p>
            <w:r>
              <w:rPr>
                <w:rFonts w:ascii="Arial" w:hAnsi="Arial"/>
                <w:color w:val="252A2E"/>
                <w:sz w:val="16"/>
              </w:rPr>
              <w:t>Sanierungs-/Sozialfahrplan</w:t>
            </w:r>
          </w:p>
        </w:tc>
      </w:tr>
      <w:tr>
        <w:tc>
          <w:tcPr>
            <w:tcW w:type="dxa" w:w="3360"/>
          </w:tcPr>
          <w:p>
            <w:r>
              <w:rPr>
                <w:rFonts w:ascii="Arial" w:hAnsi="Arial"/>
                <w:color w:val="252A2E"/>
                <w:sz w:val="16"/>
              </w:rPr>
              <w:t>–2</w:t>
            </w:r>
          </w:p>
        </w:tc>
        <w:tc>
          <w:tcPr>
            <w:tcW w:type="dxa" w:w="3360"/>
          </w:tcPr>
          <w:p>
            <w:r>
              <w:rPr>
                <w:rFonts w:ascii="Arial" w:hAnsi="Arial"/>
                <w:color w:val="252A2E"/>
                <w:sz w:val="16"/>
              </w:rPr>
              <w:t>schädlich</w:t>
            </w:r>
          </w:p>
        </w:tc>
        <w:tc>
          <w:tcPr>
            <w:tcW w:type="dxa" w:w="3360"/>
          </w:tcPr>
          <w:p>
            <w:r>
              <w:rPr>
                <w:rFonts w:ascii="Arial" w:hAnsi="Arial"/>
                <w:color w:val="252A2E"/>
                <w:sz w:val="16"/>
              </w:rPr>
              <w:t>Malus, Monitoring, Förderausschluss</w:t>
            </w:r>
          </w:p>
        </w:tc>
      </w:tr>
      <w:tr>
        <w:tc>
          <w:tcPr>
            <w:tcW w:type="dxa" w:w="3360"/>
          </w:tcPr>
          <w:p>
            <w:r>
              <w:rPr>
                <w:rFonts w:ascii="Arial" w:hAnsi="Arial"/>
                <w:color w:val="252A2E"/>
                <w:sz w:val="16"/>
              </w:rPr>
              <w:t>–3</w:t>
            </w:r>
          </w:p>
        </w:tc>
        <w:tc>
          <w:tcPr>
            <w:tcW w:type="dxa" w:w="3360"/>
          </w:tcPr>
          <w:p>
            <w:r>
              <w:rPr>
                <w:rFonts w:ascii="Arial" w:hAnsi="Arial"/>
                <w:color w:val="252A2E"/>
                <w:sz w:val="16"/>
              </w:rPr>
              <w:t>hoch schädlich</w:t>
            </w:r>
          </w:p>
        </w:tc>
        <w:tc>
          <w:tcPr>
            <w:tcW w:type="dxa" w:w="3360"/>
          </w:tcPr>
          <w:p>
            <w:r>
              <w:rPr>
                <w:rFonts w:ascii="Arial" w:hAnsi="Arial"/>
                <w:color w:val="252A2E"/>
                <w:sz w:val="16"/>
              </w:rPr>
              <w:t>Sanktion, Eingriff, Zweckentfremdungs-/Rechtsschutzverfahren</w:t>
            </w:r>
          </w:p>
        </w:tc>
      </w:tr>
    </w:tbl>
    <w:p/>
    <w:p>
      <w:pPr>
        <w:pStyle w:val="Heading1"/>
      </w:pPr>
      <w:r>
        <w:t>10. Datenquellen und Datenqualität</w:t>
      </w:r>
    </w:p>
    <w:p>
      <w:pPr>
        <w:spacing w:after="120" w:line="271" w:lineRule="auto"/>
      </w:pPr>
      <w:r>
        <w:rPr>
          <w:rFonts w:ascii="Arial" w:hAnsi="Arial"/>
          <w:b w:val="0"/>
          <w:color w:val="252A2E"/>
          <w:sz w:val="20"/>
        </w:rPr>
        <w:t>Die WÖk nutzt vorhandene Daten: Energieausweis, Heizkosten, CO2-Kostenaufteilung, Mietstruktur, Sanierungsfahrplan, Zweckentfremdungsdaten, Leerstandsdaten, Quartiersdaten und Finanzierungsdaten.</w:t>
      </w:r>
    </w:p>
    <w:p>
      <w:pPr>
        <w:spacing w:after="120" w:line="271" w:lineRule="auto"/>
      </w:pPr>
      <w:r>
        <w:rPr>
          <w:rFonts w:ascii="Arial" w:hAnsi="Arial"/>
          <w:b w:val="0"/>
          <w:color w:val="252A2E"/>
          <w:sz w:val="20"/>
        </w:rPr>
        <w:t>Datenqualität wird offengelegt. Geprüfte Daten sind stärker, Schätzungen schwächer. Fehlende Daten führen zunächst zu Transparenzpflichten, nicht automatisch zu Sanktionen.</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Datenquelle</w:t>
            </w:r>
          </w:p>
        </w:tc>
        <w:tc>
          <w:tcPr>
            <w:tcW w:type="dxa" w:w="3360"/>
            <w:shd w:fill="001D30"/>
          </w:tcPr>
          <w:p>
            <w:r>
              <w:rPr>
                <w:rFonts w:ascii="Arial" w:hAnsi="Arial"/>
                <w:b/>
                <w:color w:val="FFFFFF"/>
                <w:sz w:val="16"/>
              </w:rPr>
              <w:t>Nutzung</w:t>
            </w:r>
          </w:p>
        </w:tc>
        <w:tc>
          <w:tcPr>
            <w:tcW w:type="dxa" w:w="3360"/>
            <w:shd w:fill="001D30"/>
          </w:tcPr>
          <w:p>
            <w:r>
              <w:rPr>
                <w:rFonts w:ascii="Arial" w:hAnsi="Arial"/>
                <w:b/>
                <w:color w:val="FFFFFF"/>
                <w:sz w:val="16"/>
              </w:rPr>
              <w:t>Datenqualität</w:t>
            </w:r>
          </w:p>
        </w:tc>
      </w:tr>
      <w:tr>
        <w:tc>
          <w:tcPr>
            <w:tcW w:type="dxa" w:w="3360"/>
          </w:tcPr>
          <w:p>
            <w:r>
              <w:rPr>
                <w:rFonts w:ascii="Arial" w:hAnsi="Arial"/>
                <w:color w:val="252A2E"/>
                <w:sz w:val="16"/>
              </w:rPr>
              <w:t>Energieausweis</w:t>
            </w:r>
          </w:p>
        </w:tc>
        <w:tc>
          <w:tcPr>
            <w:tcW w:type="dxa" w:w="3360"/>
          </w:tcPr>
          <w:p>
            <w:r>
              <w:rPr>
                <w:rFonts w:ascii="Arial" w:hAnsi="Arial"/>
                <w:color w:val="252A2E"/>
                <w:sz w:val="16"/>
              </w:rPr>
              <w:t>Energie- und CO2-Pfad</w:t>
            </w:r>
          </w:p>
        </w:tc>
        <w:tc>
          <w:tcPr>
            <w:tcW w:type="dxa" w:w="3360"/>
          </w:tcPr>
          <w:p>
            <w:r>
              <w:rPr>
                <w:rFonts w:ascii="Arial" w:hAnsi="Arial"/>
                <w:color w:val="252A2E"/>
                <w:sz w:val="16"/>
              </w:rPr>
              <w:t>mittel bis hoch</w:t>
            </w:r>
          </w:p>
        </w:tc>
      </w:tr>
      <w:tr>
        <w:tc>
          <w:tcPr>
            <w:tcW w:type="dxa" w:w="3360"/>
          </w:tcPr>
          <w:p>
            <w:r>
              <w:rPr>
                <w:rFonts w:ascii="Arial" w:hAnsi="Arial"/>
                <w:color w:val="252A2E"/>
                <w:sz w:val="16"/>
              </w:rPr>
              <w:t>Heizkosten/CO2-Kosten</w:t>
            </w:r>
          </w:p>
        </w:tc>
        <w:tc>
          <w:tcPr>
            <w:tcW w:type="dxa" w:w="3360"/>
          </w:tcPr>
          <w:p>
            <w:r>
              <w:rPr>
                <w:rFonts w:ascii="Arial" w:hAnsi="Arial"/>
                <w:color w:val="252A2E"/>
                <w:sz w:val="16"/>
              </w:rPr>
              <w:t>Warmmiete, Vermieter-/Mieteranteil</w:t>
            </w:r>
          </w:p>
        </w:tc>
        <w:tc>
          <w:tcPr>
            <w:tcW w:type="dxa" w:w="3360"/>
          </w:tcPr>
          <w:p>
            <w:r>
              <w:rPr>
                <w:rFonts w:ascii="Arial" w:hAnsi="Arial"/>
                <w:color w:val="252A2E"/>
                <w:sz w:val="16"/>
              </w:rPr>
              <w:t>hoch</w:t>
            </w:r>
          </w:p>
        </w:tc>
      </w:tr>
      <w:tr>
        <w:tc>
          <w:tcPr>
            <w:tcW w:type="dxa" w:w="3360"/>
          </w:tcPr>
          <w:p>
            <w:r>
              <w:rPr>
                <w:rFonts w:ascii="Arial" w:hAnsi="Arial"/>
                <w:color w:val="252A2E"/>
                <w:sz w:val="16"/>
              </w:rPr>
              <w:t>Mietdaten</w:t>
            </w:r>
          </w:p>
        </w:tc>
        <w:tc>
          <w:tcPr>
            <w:tcW w:type="dxa" w:w="3360"/>
          </w:tcPr>
          <w:p>
            <w:r>
              <w:rPr>
                <w:rFonts w:ascii="Arial" w:hAnsi="Arial"/>
                <w:color w:val="252A2E"/>
                <w:sz w:val="16"/>
              </w:rPr>
              <w:t>Bezahlbarkeit, Mietentwicklung</w:t>
            </w:r>
          </w:p>
        </w:tc>
        <w:tc>
          <w:tcPr>
            <w:tcW w:type="dxa" w:w="3360"/>
          </w:tcPr>
          <w:p>
            <w:r>
              <w:rPr>
                <w:rFonts w:ascii="Arial" w:hAnsi="Arial"/>
                <w:color w:val="252A2E"/>
                <w:sz w:val="16"/>
              </w:rPr>
              <w:t>sensibel, aggregieren</w:t>
            </w:r>
          </w:p>
        </w:tc>
      </w:tr>
      <w:tr>
        <w:tc>
          <w:tcPr>
            <w:tcW w:type="dxa" w:w="3360"/>
          </w:tcPr>
          <w:p>
            <w:r>
              <w:rPr>
                <w:rFonts w:ascii="Arial" w:hAnsi="Arial"/>
                <w:color w:val="252A2E"/>
                <w:sz w:val="16"/>
              </w:rPr>
              <w:t>Sanierungsfahrplan</w:t>
            </w:r>
          </w:p>
        </w:tc>
        <w:tc>
          <w:tcPr>
            <w:tcW w:type="dxa" w:w="3360"/>
          </w:tcPr>
          <w:p>
            <w:r>
              <w:rPr>
                <w:rFonts w:ascii="Arial" w:hAnsi="Arial"/>
                <w:color w:val="252A2E"/>
                <w:sz w:val="16"/>
              </w:rPr>
              <w:t>Transformationspfad</w:t>
            </w:r>
          </w:p>
        </w:tc>
        <w:tc>
          <w:tcPr>
            <w:tcW w:type="dxa" w:w="3360"/>
          </w:tcPr>
          <w:p>
            <w:r>
              <w:rPr>
                <w:rFonts w:ascii="Arial" w:hAnsi="Arial"/>
                <w:color w:val="252A2E"/>
                <w:sz w:val="16"/>
              </w:rPr>
              <w:t>hoch bei Prüfung</w:t>
            </w:r>
          </w:p>
        </w:tc>
      </w:tr>
      <w:tr>
        <w:tc>
          <w:tcPr>
            <w:tcW w:type="dxa" w:w="3360"/>
          </w:tcPr>
          <w:p>
            <w:r>
              <w:rPr>
                <w:rFonts w:ascii="Arial" w:hAnsi="Arial"/>
                <w:color w:val="252A2E"/>
                <w:sz w:val="16"/>
              </w:rPr>
              <w:t>Leerstand/Zweckentfremdung</w:t>
            </w:r>
          </w:p>
        </w:tc>
        <w:tc>
          <w:tcPr>
            <w:tcW w:type="dxa" w:w="3360"/>
          </w:tcPr>
          <w:p>
            <w:r>
              <w:rPr>
                <w:rFonts w:ascii="Arial" w:hAnsi="Arial"/>
                <w:color w:val="252A2E"/>
                <w:sz w:val="16"/>
              </w:rPr>
              <w:t>Spekulationsrisiko</w:t>
            </w:r>
          </w:p>
        </w:tc>
        <w:tc>
          <w:tcPr>
            <w:tcW w:type="dxa" w:w="3360"/>
          </w:tcPr>
          <w:p>
            <w:r>
              <w:rPr>
                <w:rFonts w:ascii="Arial" w:hAnsi="Arial"/>
                <w:color w:val="252A2E"/>
                <w:sz w:val="16"/>
              </w:rPr>
              <w:t>kommunal unterschiedlich</w:t>
            </w:r>
          </w:p>
        </w:tc>
      </w:tr>
      <w:tr>
        <w:tc>
          <w:tcPr>
            <w:tcW w:type="dxa" w:w="3360"/>
          </w:tcPr>
          <w:p>
            <w:r>
              <w:rPr>
                <w:rFonts w:ascii="Arial" w:hAnsi="Arial"/>
                <w:color w:val="252A2E"/>
                <w:sz w:val="16"/>
              </w:rPr>
              <w:t>Quartiersdaten</w:t>
            </w:r>
          </w:p>
        </w:tc>
        <w:tc>
          <w:tcPr>
            <w:tcW w:type="dxa" w:w="3360"/>
          </w:tcPr>
          <w:p>
            <w:r>
              <w:rPr>
                <w:rFonts w:ascii="Arial" w:hAnsi="Arial"/>
                <w:color w:val="252A2E"/>
                <w:sz w:val="16"/>
              </w:rPr>
              <w:t>Teilhabe, Hitze, Versorgung</w:t>
            </w:r>
          </w:p>
        </w:tc>
        <w:tc>
          <w:tcPr>
            <w:tcW w:type="dxa" w:w="3360"/>
          </w:tcPr>
          <w:p>
            <w:r>
              <w:rPr>
                <w:rFonts w:ascii="Arial" w:hAnsi="Arial"/>
                <w:color w:val="252A2E"/>
                <w:sz w:val="16"/>
              </w:rPr>
              <w:t>regional unterschiedlich</w:t>
            </w:r>
          </w:p>
        </w:tc>
      </w:tr>
      <w:tr>
        <w:tc>
          <w:tcPr>
            <w:tcW w:type="dxa" w:w="3360"/>
          </w:tcPr>
          <w:p>
            <w:r>
              <w:rPr>
                <w:rFonts w:ascii="Arial" w:hAnsi="Arial"/>
                <w:color w:val="252A2E"/>
                <w:sz w:val="16"/>
              </w:rPr>
              <w:t>CRREM/Portfolio</w:t>
            </w:r>
          </w:p>
        </w:tc>
        <w:tc>
          <w:tcPr>
            <w:tcW w:type="dxa" w:w="3360"/>
          </w:tcPr>
          <w:p>
            <w:r>
              <w:rPr>
                <w:rFonts w:ascii="Arial" w:hAnsi="Arial"/>
                <w:color w:val="252A2E"/>
                <w:sz w:val="16"/>
              </w:rPr>
              <w:t>Stranding-Risiko</w:t>
            </w:r>
          </w:p>
        </w:tc>
        <w:tc>
          <w:tcPr>
            <w:tcW w:type="dxa" w:w="3360"/>
          </w:tcPr>
          <w:p>
            <w:r>
              <w:rPr>
                <w:rFonts w:ascii="Arial" w:hAnsi="Arial"/>
                <w:color w:val="252A2E"/>
                <w:sz w:val="16"/>
              </w:rPr>
              <w:t>hoch für institutionelle Portfolios</w:t>
            </w:r>
          </w:p>
        </w:tc>
      </w:tr>
    </w:tbl>
    <w:p/>
    <w:p>
      <w:pPr>
        <w:pStyle w:val="Heading1"/>
      </w:pPr>
      <w:r>
        <w:t>11. Politische Ausgestaltung</w:t>
      </w:r>
    </w:p>
    <w:p>
      <w:pPr>
        <w:spacing w:after="120" w:line="271" w:lineRule="auto"/>
      </w:pPr>
      <w:r>
        <w:rPr>
          <w:rFonts w:ascii="Arial" w:hAnsi="Arial"/>
          <w:b w:val="0"/>
          <w:color w:val="252A2E"/>
          <w:sz w:val="20"/>
        </w:rPr>
        <w:t>Die Politik entscheidet, welche Rückkopplung verbindlich wird: Förderung, Steuerbonus, Malus, Mietrecht, Zweckentfremdungsrecht, Grundsteuer C, Transparenzregister, Sanierungsfahrpläne oder kommunale Wohnwirkungshaushalte.</w:t>
      </w:r>
    </w:p>
    <w:p>
      <w:pPr>
        <w:spacing w:after="120" w:line="271" w:lineRule="auto"/>
      </w:pPr>
      <w:r>
        <w:rPr>
          <w:rFonts w:ascii="Arial" w:hAnsi="Arial"/>
          <w:b w:val="0"/>
          <w:color w:val="252A2E"/>
          <w:sz w:val="20"/>
        </w:rPr>
        <w:t>Der WÖk-Rahmen erlaubt unterschiedliche Parteipfade. Er macht nur sichtbar, welche Wirkungen und Zielkonflikte mit den jeweiligen Wegen verbunden sind.</w:t>
      </w:r>
    </w:p>
    <w:tbl>
      <w:tblPr>
        <w:tblStyle w:val="TableGrid"/>
        <w:tblW w:type="auto" w:w="0"/>
        <w:jc w:val="center"/>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Ebene</w:t>
            </w:r>
          </w:p>
        </w:tc>
        <w:tc>
          <w:tcPr>
            <w:tcW w:type="dxa" w:w="5040"/>
            <w:shd w:fill="001D30"/>
          </w:tcPr>
          <w:p>
            <w:r>
              <w:rPr>
                <w:rFonts w:ascii="Arial" w:hAnsi="Arial"/>
                <w:b/>
                <w:color w:val="FFFFFF"/>
                <w:sz w:val="16"/>
              </w:rPr>
              <w:t>Aufgabe / Ausgestaltung</w:t>
            </w:r>
          </w:p>
        </w:tc>
      </w:tr>
      <w:tr>
        <w:tc>
          <w:tcPr>
            <w:tcW w:type="dxa" w:w="5040"/>
          </w:tcPr>
          <w:p>
            <w:r>
              <w:rPr>
                <w:rFonts w:ascii="Arial" w:hAnsi="Arial"/>
                <w:color w:val="252A2E"/>
                <w:sz w:val="16"/>
              </w:rPr>
              <w:t>Aufgabe der Politik</w:t>
            </w:r>
          </w:p>
        </w:tc>
        <w:tc>
          <w:tcPr>
            <w:tcW w:type="dxa" w:w="5040"/>
          </w:tcPr>
          <w:p>
            <w:r>
              <w:rPr>
                <w:rFonts w:ascii="Arial" w:hAnsi="Arial"/>
                <w:color w:val="252A2E"/>
                <w:sz w:val="16"/>
              </w:rPr>
              <w:t>Eigentum, Vermietung und Kapitalzugang so rahmen, dass Wohnwirkung statt Knappheitsrendite entsteht.</w:t>
            </w:r>
          </w:p>
        </w:tc>
      </w:tr>
      <w:tr>
        <w:tc>
          <w:tcPr>
            <w:tcW w:type="dxa" w:w="5040"/>
          </w:tcPr>
          <w:p>
            <w:r>
              <w:rPr>
                <w:rFonts w:ascii="Arial" w:hAnsi="Arial"/>
                <w:color w:val="252A2E"/>
                <w:sz w:val="16"/>
              </w:rPr>
              <w:t>Rahmenbedingungen</w:t>
            </w:r>
          </w:p>
        </w:tc>
        <w:tc>
          <w:tcPr>
            <w:tcW w:type="dxa" w:w="5040"/>
          </w:tcPr>
          <w:p>
            <w:r>
              <w:rPr>
                <w:rFonts w:ascii="Arial" w:hAnsi="Arial"/>
                <w:color w:val="252A2E"/>
                <w:sz w:val="16"/>
              </w:rPr>
              <w:t>GEG, EPBD, CO2KostAufG, Mietrecht, Grundsteuer C, Zweckentfremdung, Förder- und Finanzierungslogik koppeln.</w:t>
            </w:r>
          </w:p>
        </w:tc>
      </w:tr>
      <w:tr>
        <w:tc>
          <w:tcPr>
            <w:tcW w:type="dxa" w:w="5040"/>
          </w:tcPr>
          <w:p>
            <w:r>
              <w:rPr>
                <w:rFonts w:ascii="Arial" w:hAnsi="Arial"/>
                <w:color w:val="252A2E"/>
                <w:sz w:val="16"/>
              </w:rPr>
              <w:t>Ausgestaltungsspielraum</w:t>
            </w:r>
          </w:p>
        </w:tc>
        <w:tc>
          <w:tcPr>
            <w:tcW w:type="dxa" w:w="5040"/>
          </w:tcPr>
          <w:p>
            <w:r>
              <w:rPr>
                <w:rFonts w:ascii="Arial" w:hAnsi="Arial"/>
                <w:color w:val="252A2E"/>
                <w:sz w:val="16"/>
              </w:rPr>
              <w:t>Tempo, Verbindlichkeit, Bonus/Malus, kommunale Rollen, Förderhöhe, Datenschutz und Eigentumsschutz bleiben demokratisch gestaltbar.</w:t>
            </w:r>
          </w:p>
        </w:tc>
      </w:tr>
      <w:tr>
        <w:tc>
          <w:tcPr>
            <w:tcW w:type="dxa" w:w="5040"/>
          </w:tcPr>
          <w:p>
            <w:r>
              <w:rPr>
                <w:rFonts w:ascii="Arial" w:hAnsi="Arial"/>
                <w:color w:val="252A2E"/>
                <w:sz w:val="16"/>
              </w:rPr>
              <w:t>Zielkonflikte</w:t>
            </w:r>
          </w:p>
        </w:tc>
        <w:tc>
          <w:tcPr>
            <w:tcW w:type="dxa" w:w="5040"/>
          </w:tcPr>
          <w:p>
            <w:r>
              <w:rPr>
                <w:rFonts w:ascii="Arial" w:hAnsi="Arial"/>
                <w:color w:val="252A2E"/>
                <w:sz w:val="16"/>
              </w:rPr>
              <w:t>Bezahlbarkeit vs. Sanierungskosten; Eigentumsfreiheit vs. Wohnraumsicherung; Neubau vs. Flächenverbrauch; Transparenz vs. Datenschutz.</w:t>
            </w:r>
          </w:p>
        </w:tc>
      </w:tr>
      <w:tr>
        <w:tc>
          <w:tcPr>
            <w:tcW w:type="dxa" w:w="5040"/>
          </w:tcPr>
          <w:p>
            <w:r>
              <w:rPr>
                <w:rFonts w:ascii="Arial" w:hAnsi="Arial"/>
                <w:color w:val="252A2E"/>
                <w:sz w:val="16"/>
              </w:rPr>
              <w:t>Rollenverteilung</w:t>
            </w:r>
          </w:p>
        </w:tc>
        <w:tc>
          <w:tcPr>
            <w:tcW w:type="dxa" w:w="5040"/>
          </w:tcPr>
          <w:p>
            <w:r>
              <w:rPr>
                <w:rFonts w:ascii="Arial" w:hAnsi="Arial"/>
                <w:color w:val="252A2E"/>
                <w:sz w:val="16"/>
              </w:rPr>
              <w:t>EU: Gebäuderahmen; Bund: Miet-, Steuer-, Energie- und Finanzregeln; Länder/Kommunen: Vollzug, Planung, Zweckentfremdung, Förderprogramme.</w:t>
            </w:r>
          </w:p>
        </w:tc>
      </w:tr>
      <w:tr>
        <w:tc>
          <w:tcPr>
            <w:tcW w:type="dxa" w:w="5040"/>
          </w:tcPr>
          <w:p>
            <w:r>
              <w:rPr>
                <w:rFonts w:ascii="Arial" w:hAnsi="Arial"/>
                <w:color w:val="252A2E"/>
                <w:sz w:val="16"/>
              </w:rPr>
              <w:t>Übergang und Schutz</w:t>
            </w:r>
          </w:p>
        </w:tc>
        <w:tc>
          <w:tcPr>
            <w:tcW w:type="dxa" w:w="5040"/>
          </w:tcPr>
          <w:p>
            <w:r>
              <w:rPr>
                <w:rFonts w:ascii="Arial" w:hAnsi="Arial"/>
                <w:color w:val="252A2E"/>
                <w:sz w:val="16"/>
              </w:rPr>
              <w:t>Pilotierung, Kleinvermieter:innen-Schutz, Härtefälle, Sozialabfederung, Sanierungsfahrpläne, Rechtsschutz.</w:t>
            </w:r>
          </w:p>
        </w:tc>
      </w:tr>
      <w:tr>
        <w:tc>
          <w:tcPr>
            <w:tcW w:type="dxa" w:w="5040"/>
          </w:tcPr>
          <w:p>
            <w:r>
              <w:rPr>
                <w:rFonts w:ascii="Arial" w:hAnsi="Arial"/>
                <w:color w:val="252A2E"/>
                <w:sz w:val="16"/>
              </w:rPr>
              <w:t>Evaluation</w:t>
            </w:r>
          </w:p>
        </w:tc>
        <w:tc>
          <w:tcPr>
            <w:tcW w:type="dxa" w:w="5040"/>
          </w:tcPr>
          <w:p>
            <w:r>
              <w:rPr>
                <w:rFonts w:ascii="Arial" w:hAnsi="Arial"/>
                <w:color w:val="252A2E"/>
                <w:sz w:val="16"/>
              </w:rPr>
              <w:t>Wohnwirkungsbericht, Miet-/Nebenkostenmonitoring, Stranded-Asset-Check, öffentliche Konsultation, Benchmark-Revision.</w:t>
            </w:r>
          </w:p>
        </w:tc>
      </w:tr>
      <w:tr>
        <w:tc>
          <w:tcPr>
            <w:tcW w:type="dxa" w:w="5040"/>
          </w:tcPr>
          <w:p>
            <w:r>
              <w:rPr>
                <w:rFonts w:ascii="Arial" w:hAnsi="Arial"/>
                <w:color w:val="252A2E"/>
                <w:sz w:val="16"/>
              </w:rPr>
              <w:t>Schutz vor Technokratie</w:t>
            </w:r>
          </w:p>
        </w:tc>
        <w:tc>
          <w:tcPr>
            <w:tcW w:type="dxa" w:w="5040"/>
          </w:tcPr>
          <w:p>
            <w:r>
              <w:rPr>
                <w:rFonts w:ascii="Arial" w:hAnsi="Arial"/>
                <w:color w:val="252A2E"/>
                <w:sz w:val="16"/>
              </w:rPr>
              <w:t>Wirkungsdaten bereiten Entscheidungen vor, ersetzen aber nicht demokratische Gesetzgebung und gerichtlichen Rechtsschutz.</w:t>
            </w:r>
          </w:p>
        </w:tc>
      </w:tr>
    </w:tbl>
    <w:p/>
    <w:p>
      <w:pPr>
        <w:pStyle w:val="Heading1"/>
      </w:pPr>
      <w:r>
        <w:t>12. Online-Integration</w:t>
      </w:r>
    </w:p>
    <w:p>
      <w:pPr>
        <w:spacing w:after="120" w:line="271" w:lineRule="auto"/>
      </w:pPr>
      <w:r>
        <w:rPr>
          <w:rFonts w:ascii="Arial" w:hAnsi="Arial"/>
          <w:b w:val="0"/>
          <w:color w:val="252A2E"/>
          <w:sz w:val="20"/>
        </w:rPr>
        <w:t>Das Dossier wird vollständig online lesbar. Es erhält Kapitelanker, Tabellen, Druckfunktion, Download, Quellenregister, Buchanker, SDG-/SDG+-Block, Glossarlinks und Kontext-Werkzeuge. Die öffentliche Online-Fassung enthält keine internen Umsetzungsanweisungen.</w:t>
      </w:r>
    </w:p>
    <w:p>
      <w:pPr>
        <w:pStyle w:val="Heading1"/>
      </w:pPr>
      <w:r>
        <w:t>Quellen und Online-Referenzen</w:t>
      </w:r>
    </w:p>
    <w:p>
      <w:pPr>
        <w:spacing w:after="120" w:line="271" w:lineRule="auto"/>
      </w:pPr>
      <w:r>
        <w:rPr>
          <w:rFonts w:ascii="Arial" w:hAnsi="Arial"/>
          <w:b w:val="0"/>
          <w:color w:val="252A2E"/>
          <w:sz w:val="20"/>
        </w:rPr>
        <w:t>Diese Ausarbeitung nutzt vorhandene WÖk-Grundlagen und öffentliche Quellen. Sie ersetzt keine Rechts-, Steuer-, Anlage- oder Finanzierungsberatung. Externe Quellen werden für die Website als Linkregister empfohlen.</w:t>
      </w:r>
    </w:p>
    <w:tbl>
      <w:tblPr>
        <w:tblStyle w:val="TableGrid"/>
        <w:tblW w:type="auto" w:w="0"/>
        <w:jc w:val="center"/>
        <w:tblLook w:firstColumn="1" w:firstRow="1" w:lastColumn="0" w:lastRow="0" w:noHBand="0" w:noVBand="1" w:val="04A0"/>
      </w:tblPr>
      <w:tblGrid>
        <w:gridCol w:w="5040"/>
        <w:gridCol w:w="5040"/>
      </w:tblGrid>
      <w:tr>
        <w:tc>
          <w:tcPr>
            <w:tcW w:type="dxa" w:w="5040"/>
            <w:shd w:fill="001D30"/>
          </w:tcPr>
          <w:p>
            <w:r>
              <w:rPr>
                <w:rFonts w:ascii="Arial" w:hAnsi="Arial"/>
                <w:b/>
                <w:color w:val="FFFFFF"/>
                <w:sz w:val="16"/>
              </w:rPr>
              <w:t>Quelle</w:t>
            </w:r>
          </w:p>
        </w:tc>
        <w:tc>
          <w:tcPr>
            <w:tcW w:type="dxa" w:w="5040"/>
            <w:shd w:fill="001D30"/>
          </w:tcPr>
          <w:p>
            <w:r>
              <w:rPr>
                <w:rFonts w:ascii="Arial" w:hAnsi="Arial"/>
                <w:b/>
                <w:color w:val="FFFFFF"/>
                <w:sz w:val="16"/>
              </w:rPr>
              <w:t>Nutzung</w:t>
            </w:r>
          </w:p>
        </w:tc>
      </w:tr>
      <w:tr>
        <w:tc>
          <w:tcPr>
            <w:tcW w:type="dxa" w:w="5040"/>
          </w:tcPr>
          <w:p>
            <w:r>
              <w:rPr>
                <w:rFonts w:ascii="Arial" w:hAnsi="Arial"/>
                <w:color w:val="252A2E"/>
                <w:sz w:val="16"/>
              </w:rPr>
              <w:t>WÖk Working-Paper Wohnungsmarkt</w:t>
            </w:r>
          </w:p>
        </w:tc>
        <w:tc>
          <w:tcPr>
            <w:tcW w:type="dxa" w:w="5040"/>
          </w:tcPr>
          <w:p>
            <w:r>
              <w:rPr>
                <w:rFonts w:ascii="Arial" w:hAnsi="Arial"/>
                <w:color w:val="252A2E"/>
                <w:sz w:val="16"/>
              </w:rPr>
              <w:t>Working-Paper Wohnungsmarkt: Bezahlbar, nachhaltig, gerecht, Natalie Weber, 2025.</w:t>
            </w:r>
          </w:p>
        </w:tc>
      </w:tr>
      <w:tr>
        <w:tc>
          <w:tcPr>
            <w:tcW w:type="dxa" w:w="5040"/>
          </w:tcPr>
          <w:p>
            <w:r>
              <w:rPr>
                <w:rFonts w:ascii="Arial" w:hAnsi="Arial"/>
                <w:color w:val="252A2E"/>
                <w:sz w:val="16"/>
              </w:rPr>
              <w:t>WÖk Buchanker</w:t>
            </w:r>
          </w:p>
        </w:tc>
        <w:tc>
          <w:tcPr>
            <w:tcW w:type="dxa" w:w="5040"/>
          </w:tcPr>
          <w:p>
            <w:r>
              <w:rPr>
                <w:rFonts w:ascii="Arial" w:hAnsi="Arial"/>
                <w:color w:val="252A2E"/>
                <w:sz w:val="16"/>
              </w:rPr>
              <w:t>Die neue Ordnung des Wohlstands, insbesondere Kapitel 3.15, 70.2–70.4, 59, 70.3 und 70.4.</w:t>
            </w:r>
          </w:p>
        </w:tc>
      </w:tr>
      <w:tr>
        <w:tc>
          <w:tcPr>
            <w:tcW w:type="dxa" w:w="5040"/>
          </w:tcPr>
          <w:p>
            <w:r>
              <w:rPr>
                <w:rFonts w:ascii="Arial" w:hAnsi="Arial"/>
                <w:color w:val="252A2E"/>
                <w:sz w:val="16"/>
              </w:rPr>
              <w:t>WÖk Begriffsleitfaden</w:t>
            </w:r>
          </w:p>
        </w:tc>
        <w:tc>
          <w:tcPr>
            <w:tcW w:type="dxa" w:w="5040"/>
          </w:tcPr>
          <w:p>
            <w:r>
              <w:rPr>
                <w:rFonts w:ascii="Arial" w:hAnsi="Arial"/>
                <w:color w:val="252A2E"/>
                <w:sz w:val="16"/>
              </w:rPr>
              <w:t>Führender Begriffsleitfaden der Wirkungsökonomie, Version 1.0, 21. Mai 2026.</w:t>
            </w:r>
          </w:p>
        </w:tc>
      </w:tr>
      <w:tr>
        <w:tc>
          <w:tcPr>
            <w:tcW w:type="dxa" w:w="5040"/>
          </w:tcPr>
          <w:p>
            <w:r>
              <w:rPr>
                <w:rFonts w:ascii="Arial" w:hAnsi="Arial"/>
                <w:color w:val="252A2E"/>
                <w:sz w:val="16"/>
              </w:rPr>
              <w:t>EU EPBD</w:t>
            </w:r>
          </w:p>
        </w:tc>
        <w:tc>
          <w:tcPr>
            <w:tcW w:type="dxa" w:w="5040"/>
          </w:tcPr>
          <w:p>
            <w:r>
              <w:rPr>
                <w:rFonts w:ascii="Arial" w:hAnsi="Arial"/>
                <w:color w:val="252A2E"/>
                <w:sz w:val="16"/>
              </w:rPr>
              <w:t>European Commission: Energy Performance of Buildings Directive, EU/2024/1275.</w:t>
            </w:r>
          </w:p>
        </w:tc>
      </w:tr>
      <w:tr>
        <w:tc>
          <w:tcPr>
            <w:tcW w:type="dxa" w:w="5040"/>
          </w:tcPr>
          <w:p>
            <w:r>
              <w:rPr>
                <w:rFonts w:ascii="Arial" w:hAnsi="Arial"/>
                <w:color w:val="252A2E"/>
                <w:sz w:val="16"/>
              </w:rPr>
              <w:t>GEG</w:t>
            </w:r>
          </w:p>
        </w:tc>
        <w:tc>
          <w:tcPr>
            <w:tcW w:type="dxa" w:w="5040"/>
          </w:tcPr>
          <w:p>
            <w:r>
              <w:rPr>
                <w:rFonts w:ascii="Arial" w:hAnsi="Arial"/>
                <w:color w:val="252A2E"/>
                <w:sz w:val="16"/>
              </w:rPr>
              <w:t>Gebäudeenergiegesetz und BMWK-Informationen zur 65-Prozent-Erneuerbare-Energien-Regel.</w:t>
            </w:r>
          </w:p>
        </w:tc>
      </w:tr>
      <w:tr>
        <w:tc>
          <w:tcPr>
            <w:tcW w:type="dxa" w:w="5040"/>
          </w:tcPr>
          <w:p>
            <w:r>
              <w:rPr>
                <w:rFonts w:ascii="Arial" w:hAnsi="Arial"/>
                <w:color w:val="252A2E"/>
                <w:sz w:val="16"/>
              </w:rPr>
              <w:t>CO2KostAufG</w:t>
            </w:r>
          </w:p>
        </w:tc>
        <w:tc>
          <w:tcPr>
            <w:tcW w:type="dxa" w:w="5040"/>
          </w:tcPr>
          <w:p>
            <w:r>
              <w:rPr>
                <w:rFonts w:ascii="Arial" w:hAnsi="Arial"/>
                <w:color w:val="252A2E"/>
                <w:sz w:val="16"/>
              </w:rPr>
              <w:t>Gesetz zur Aufteilung der Kohlendioxidkosten zwischen Vermietenden und Mietenden.</w:t>
            </w:r>
          </w:p>
        </w:tc>
      </w:tr>
      <w:tr>
        <w:tc>
          <w:tcPr>
            <w:tcW w:type="dxa" w:w="5040"/>
          </w:tcPr>
          <w:p>
            <w:r>
              <w:rPr>
                <w:rFonts w:ascii="Arial" w:hAnsi="Arial"/>
                <w:color w:val="252A2E"/>
                <w:sz w:val="16"/>
              </w:rPr>
              <w:t>BGB Mietrecht</w:t>
            </w:r>
          </w:p>
        </w:tc>
        <w:tc>
          <w:tcPr>
            <w:tcW w:type="dxa" w:w="5040"/>
          </w:tcPr>
          <w:p>
            <w:r>
              <w:rPr>
                <w:rFonts w:ascii="Arial" w:hAnsi="Arial"/>
                <w:color w:val="252A2E"/>
                <w:sz w:val="16"/>
              </w:rPr>
              <w:t>BGB §§ 535, 555b, 559: Erhaltungspflicht, Modernisierung, Modernisierungsmieterhöhung.</w:t>
            </w:r>
          </w:p>
        </w:tc>
      </w:tr>
      <w:tr>
        <w:tc>
          <w:tcPr>
            <w:tcW w:type="dxa" w:w="5040"/>
          </w:tcPr>
          <w:p>
            <w:r>
              <w:rPr>
                <w:rFonts w:ascii="Arial" w:hAnsi="Arial"/>
                <w:color w:val="252A2E"/>
                <w:sz w:val="16"/>
              </w:rPr>
              <w:t>Berlin Zweckentfremdung</w:t>
            </w:r>
          </w:p>
        </w:tc>
        <w:tc>
          <w:tcPr>
            <w:tcW w:type="dxa" w:w="5040"/>
          </w:tcPr>
          <w:p>
            <w:r>
              <w:rPr>
                <w:rFonts w:ascii="Arial" w:hAnsi="Arial"/>
                <w:color w:val="252A2E"/>
                <w:sz w:val="16"/>
              </w:rPr>
              <w:t>Berliner Zweckentfremdungsverbot und 4. ZwVbVO 2026.</w:t>
            </w:r>
          </w:p>
        </w:tc>
      </w:tr>
      <w:tr>
        <w:tc>
          <w:tcPr>
            <w:tcW w:type="dxa" w:w="5040"/>
          </w:tcPr>
          <w:p>
            <w:r>
              <w:rPr>
                <w:rFonts w:ascii="Arial" w:hAnsi="Arial"/>
                <w:color w:val="252A2E"/>
                <w:sz w:val="16"/>
              </w:rPr>
              <w:t>Grundsteuer C</w:t>
            </w:r>
          </w:p>
        </w:tc>
        <w:tc>
          <w:tcPr>
            <w:tcW w:type="dxa" w:w="5040"/>
          </w:tcPr>
          <w:p>
            <w:r>
              <w:rPr>
                <w:rFonts w:ascii="Arial" w:hAnsi="Arial"/>
                <w:color w:val="252A2E"/>
                <w:sz w:val="16"/>
              </w:rPr>
              <w:t>BMF FAQ zur Grundsteuerreform und baureifen unbebauten Grundstücken.</w:t>
            </w:r>
          </w:p>
        </w:tc>
      </w:tr>
      <w:tr>
        <w:tc>
          <w:tcPr>
            <w:tcW w:type="dxa" w:w="5040"/>
          </w:tcPr>
          <w:p>
            <w:r>
              <w:rPr>
                <w:rFonts w:ascii="Arial" w:hAnsi="Arial"/>
                <w:color w:val="252A2E"/>
                <w:sz w:val="16"/>
              </w:rPr>
              <w:t>CRREM</w:t>
            </w:r>
          </w:p>
        </w:tc>
        <w:tc>
          <w:tcPr>
            <w:tcW w:type="dxa" w:w="5040"/>
          </w:tcPr>
          <w:p>
            <w:r>
              <w:rPr>
                <w:rFonts w:ascii="Arial" w:hAnsi="Arial"/>
                <w:color w:val="252A2E"/>
                <w:sz w:val="16"/>
              </w:rPr>
              <w:t>Carbon Risk Real Estate Monitor: Stranding Risk / Stranded Assets.</w:t>
            </w:r>
          </w:p>
        </w:tc>
      </w:tr>
      <w:tr>
        <w:tc>
          <w:tcPr>
            <w:tcW w:type="dxa" w:w="5040"/>
          </w:tcPr>
          <w:p>
            <w:r>
              <w:rPr>
                <w:rFonts w:ascii="Arial" w:hAnsi="Arial"/>
                <w:color w:val="252A2E"/>
                <w:sz w:val="16"/>
              </w:rPr>
              <w:t>EU Taxonomy Navigator</w:t>
            </w:r>
          </w:p>
        </w:tc>
        <w:tc>
          <w:tcPr>
            <w:tcW w:type="dxa" w:w="5040"/>
          </w:tcPr>
          <w:p>
            <w:r>
              <w:rPr>
                <w:rFonts w:ascii="Arial" w:hAnsi="Arial"/>
                <w:color w:val="252A2E"/>
                <w:sz w:val="16"/>
              </w:rPr>
              <w:t>Taxonomie-Aktivitäten Neubau, Sanierung, Erwerb und Eigentum von Gebäuden.</w:t>
            </w:r>
          </w:p>
        </w:tc>
      </w:tr>
      <w:tr>
        <w:tc>
          <w:tcPr>
            <w:tcW w:type="dxa" w:w="5040"/>
          </w:tcPr>
          <w:p>
            <w:r>
              <w:rPr>
                <w:rFonts w:ascii="Arial" w:hAnsi="Arial"/>
                <w:color w:val="252A2E"/>
                <w:sz w:val="16"/>
              </w:rPr>
              <w:t>Destatis/BBSR/UBA</w:t>
            </w:r>
          </w:p>
        </w:tc>
        <w:tc>
          <w:tcPr>
            <w:tcW w:type="dxa" w:w="5040"/>
          </w:tcPr>
          <w:p>
            <w:r>
              <w:rPr>
                <w:rFonts w:ascii="Arial" w:hAnsi="Arial"/>
                <w:color w:val="252A2E"/>
                <w:sz w:val="16"/>
              </w:rPr>
              <w:t>Wohnkostenüberbelastung, Wohnungsbedarf, Gebäudesektor-Emissionen.</w:t>
            </w:r>
          </w:p>
        </w:tc>
      </w:tr>
    </w:tbl>
    <w:p/>
    <w:p>
      <w:r>
        <w:br w:type="page"/>
      </w:r>
    </w:p>
    <w:p>
      <w:pPr>
        <w:pStyle w:val="Heading1"/>
      </w:pPr>
      <w:r>
        <w:t>Anhang A – Formel- und Rechenlogik</w:t>
      </w:r>
    </w:p>
    <w:p>
      <w:pPr>
        <w:spacing w:after="120" w:line="271" w:lineRule="auto"/>
      </w:pPr>
      <w:r>
        <w:rPr>
          <w:rFonts w:ascii="Arial" w:hAnsi="Arial"/>
          <w:b w:val="0"/>
          <w:color w:val="252A2E"/>
          <w:sz w:val="20"/>
        </w:rPr>
        <w:t>Die Rechenlogik ist als Arbeitsmodell zu verstehen. Sie macht transparent, wie aus Daten, Scores und Gewichtungen eine Rückkopplung entstehen kann. Politisch festzulegen bleiben Schwellen, Gewichte, Bonus-/Malus-Sätze, Übergangsfristen und Schutzmechanismen.</w:t>
      </w:r>
    </w:p>
    <w:tbl>
      <w:tblPr>
        <w:tblStyle w:val="TableGrid"/>
        <w:tblW w:type="auto" w:w="0"/>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Schritt</w:t>
            </w:r>
          </w:p>
        </w:tc>
        <w:tc>
          <w:tcPr>
            <w:tcW w:type="dxa" w:w="3360"/>
            <w:shd w:fill="001D30"/>
          </w:tcPr>
          <w:p>
            <w:r>
              <w:rPr>
                <w:rFonts w:ascii="Arial" w:hAnsi="Arial"/>
                <w:b/>
                <w:color w:val="FFFFFF"/>
                <w:sz w:val="16"/>
              </w:rPr>
              <w:t>Beschreibung</w:t>
            </w:r>
          </w:p>
        </w:tc>
        <w:tc>
          <w:tcPr>
            <w:tcW w:type="dxa" w:w="3360"/>
            <w:shd w:fill="001D30"/>
          </w:tcPr>
          <w:p>
            <w:r>
              <w:rPr>
                <w:rFonts w:ascii="Arial" w:hAnsi="Arial"/>
                <w:b/>
                <w:color w:val="FFFFFF"/>
                <w:sz w:val="16"/>
              </w:rPr>
              <w:t>Beispiel</w:t>
            </w:r>
          </w:p>
        </w:tc>
      </w:tr>
      <w:tr>
        <w:tc>
          <w:tcPr>
            <w:tcW w:type="dxa" w:w="3360"/>
          </w:tcPr>
          <w:p>
            <w:r>
              <w:rPr>
                <w:rFonts w:ascii="Arial" w:hAnsi="Arial"/>
                <w:color w:val="252A2E"/>
                <w:sz w:val="16"/>
              </w:rPr>
              <w:t>1 Daten erfassen</w:t>
            </w:r>
          </w:p>
        </w:tc>
        <w:tc>
          <w:tcPr>
            <w:tcW w:type="dxa" w:w="3360"/>
          </w:tcPr>
          <w:p>
            <w:r>
              <w:rPr>
                <w:rFonts w:ascii="Arial" w:hAnsi="Arial"/>
                <w:color w:val="252A2E"/>
                <w:sz w:val="16"/>
              </w:rPr>
              <w:t>Energie, Miete, Nebenkosten, Leerstand, Sanierung, Quartier</w:t>
            </w:r>
          </w:p>
        </w:tc>
        <w:tc>
          <w:tcPr>
            <w:tcW w:type="dxa" w:w="3360"/>
          </w:tcPr>
          <w:p>
            <w:r>
              <w:rPr>
                <w:rFonts w:ascii="Arial" w:hAnsi="Arial"/>
                <w:color w:val="252A2E"/>
                <w:sz w:val="16"/>
              </w:rPr>
              <w:t>Energieausweis, Heizkosten, Mietdaten</w:t>
            </w:r>
          </w:p>
        </w:tc>
      </w:tr>
      <w:tr>
        <w:tc>
          <w:tcPr>
            <w:tcW w:type="dxa" w:w="3360"/>
          </w:tcPr>
          <w:p>
            <w:r>
              <w:rPr>
                <w:rFonts w:ascii="Arial" w:hAnsi="Arial"/>
                <w:color w:val="252A2E"/>
                <w:sz w:val="16"/>
              </w:rPr>
              <w:t>2 Indikator bilden</w:t>
            </w:r>
          </w:p>
        </w:tc>
        <w:tc>
          <w:tcPr>
            <w:tcW w:type="dxa" w:w="3360"/>
          </w:tcPr>
          <w:p>
            <w:r>
              <w:rPr>
                <w:rFonts w:ascii="Arial" w:hAnsi="Arial"/>
                <w:color w:val="252A2E"/>
                <w:sz w:val="16"/>
              </w:rPr>
              <w:t>Messwert in interpretierbare Kennzahl übersetzen</w:t>
            </w:r>
          </w:p>
        </w:tc>
        <w:tc>
          <w:tcPr>
            <w:tcW w:type="dxa" w:w="3360"/>
          </w:tcPr>
          <w:p>
            <w:r>
              <w:rPr>
                <w:rFonts w:ascii="Arial" w:hAnsi="Arial"/>
                <w:color w:val="252A2E"/>
                <w:sz w:val="16"/>
              </w:rPr>
              <w:t>CO2/m², Warmmietenquote, Leerstandsdauer</w:t>
            </w:r>
          </w:p>
        </w:tc>
      </w:tr>
      <w:tr>
        <w:tc>
          <w:tcPr>
            <w:tcW w:type="dxa" w:w="3360"/>
          </w:tcPr>
          <w:p>
            <w:r>
              <w:rPr>
                <w:rFonts w:ascii="Arial" w:hAnsi="Arial"/>
                <w:color w:val="252A2E"/>
                <w:sz w:val="16"/>
              </w:rPr>
              <w:t>3 Score ableiten</w:t>
            </w:r>
          </w:p>
        </w:tc>
        <w:tc>
          <w:tcPr>
            <w:tcW w:type="dxa" w:w="3360"/>
          </w:tcPr>
          <w:p>
            <w:r>
              <w:rPr>
                <w:rFonts w:ascii="Arial" w:hAnsi="Arial"/>
                <w:color w:val="252A2E"/>
                <w:sz w:val="16"/>
              </w:rPr>
              <w:t>Kennzahl auf Skala –3 bis +3 übertragen</w:t>
            </w:r>
          </w:p>
        </w:tc>
        <w:tc>
          <w:tcPr>
            <w:tcW w:type="dxa" w:w="3360"/>
          </w:tcPr>
          <w:p>
            <w:r>
              <w:rPr>
                <w:rFonts w:ascii="Arial" w:hAnsi="Arial"/>
                <w:color w:val="252A2E"/>
                <w:sz w:val="16"/>
              </w:rPr>
              <w:t>+2 bei deutlicher Entlastung, –2 bei starker Belastung</w:t>
            </w:r>
          </w:p>
        </w:tc>
      </w:tr>
      <w:tr>
        <w:tc>
          <w:tcPr>
            <w:tcW w:type="dxa" w:w="3360"/>
          </w:tcPr>
          <w:p>
            <w:r>
              <w:rPr>
                <w:rFonts w:ascii="Arial" w:hAnsi="Arial"/>
                <w:color w:val="252A2E"/>
                <w:sz w:val="16"/>
              </w:rPr>
              <w:t>4 Gewichten</w:t>
            </w:r>
          </w:p>
        </w:tc>
        <w:tc>
          <w:tcPr>
            <w:tcW w:type="dxa" w:w="3360"/>
          </w:tcPr>
          <w:p>
            <w:r>
              <w:rPr>
                <w:rFonts w:ascii="Arial" w:hAnsi="Arial"/>
                <w:color w:val="252A2E"/>
                <w:sz w:val="16"/>
              </w:rPr>
              <w:t>Kernfelder nach Relevanz gewichten</w:t>
            </w:r>
          </w:p>
        </w:tc>
        <w:tc>
          <w:tcPr>
            <w:tcW w:type="dxa" w:w="3360"/>
          </w:tcPr>
          <w:p>
            <w:r>
              <w:rPr>
                <w:rFonts w:ascii="Arial" w:hAnsi="Arial"/>
                <w:color w:val="252A2E"/>
                <w:sz w:val="16"/>
              </w:rPr>
              <w:t>Bezahlbarkeit 25 %, Energie 25 %</w:t>
            </w:r>
          </w:p>
        </w:tc>
      </w:tr>
      <w:tr>
        <w:tc>
          <w:tcPr>
            <w:tcW w:type="dxa" w:w="3360"/>
          </w:tcPr>
          <w:p>
            <w:r>
              <w:rPr>
                <w:rFonts w:ascii="Arial" w:hAnsi="Arial"/>
                <w:color w:val="252A2E"/>
                <w:sz w:val="16"/>
              </w:rPr>
              <w:t>5 Schutzregel prüfen</w:t>
            </w:r>
          </w:p>
        </w:tc>
        <w:tc>
          <w:tcPr>
            <w:tcW w:type="dxa" w:w="3360"/>
          </w:tcPr>
          <w:p>
            <w:r>
              <w:rPr>
                <w:rFonts w:ascii="Arial" w:hAnsi="Arial"/>
                <w:color w:val="252A2E"/>
                <w:sz w:val="16"/>
              </w:rPr>
              <w:t>kritische Negativwerte dürfen nicht verschwinden</w:t>
            </w:r>
          </w:p>
        </w:tc>
        <w:tc>
          <w:tcPr>
            <w:tcW w:type="dxa" w:w="3360"/>
          </w:tcPr>
          <w:p>
            <w:r>
              <w:rPr>
                <w:rFonts w:ascii="Arial" w:hAnsi="Arial"/>
                <w:color w:val="252A2E"/>
                <w:sz w:val="16"/>
              </w:rPr>
              <w:t>Verdrängung –3 begrenzt Gesamtergebnis</w:t>
            </w:r>
          </w:p>
        </w:tc>
      </w:tr>
      <w:tr>
        <w:tc>
          <w:tcPr>
            <w:tcW w:type="dxa" w:w="3360"/>
          </w:tcPr>
          <w:p>
            <w:r>
              <w:rPr>
                <w:rFonts w:ascii="Arial" w:hAnsi="Arial"/>
                <w:color w:val="252A2E"/>
                <w:sz w:val="16"/>
              </w:rPr>
              <w:t>6 Rückkopplung</w:t>
            </w:r>
          </w:p>
        </w:tc>
        <w:tc>
          <w:tcPr>
            <w:tcW w:type="dxa" w:w="3360"/>
          </w:tcPr>
          <w:p>
            <w:r>
              <w:rPr>
                <w:rFonts w:ascii="Arial" w:hAnsi="Arial"/>
                <w:color w:val="252A2E"/>
                <w:sz w:val="16"/>
              </w:rPr>
              <w:t>Score wirkt in Förderung, Steuer, Kapital, Auflagen</w:t>
            </w:r>
          </w:p>
        </w:tc>
        <w:tc>
          <w:tcPr>
            <w:tcW w:type="dxa" w:w="3360"/>
          </w:tcPr>
          <w:p>
            <w:r>
              <w:rPr>
                <w:rFonts w:ascii="Arial" w:hAnsi="Arial"/>
                <w:color w:val="252A2E"/>
                <w:sz w:val="16"/>
              </w:rPr>
              <w:t>Bonus, Kredit, Sanierungsfahrplan, Malus</w:t>
            </w:r>
          </w:p>
        </w:tc>
      </w:tr>
    </w:tbl>
    <w:p/>
    <w:p>
      <w:pPr>
        <w:pStyle w:val="Heading1"/>
      </w:pPr>
      <w:r>
        <w:t>Anhang B – Beispielportfolio</w:t>
      </w:r>
    </w:p>
    <w:p>
      <w:pPr>
        <w:spacing w:after="120" w:line="271" w:lineRule="auto"/>
      </w:pPr>
      <w:r>
        <w:rPr>
          <w:rFonts w:ascii="Arial" w:hAnsi="Arial"/>
          <w:b w:val="0"/>
          <w:color w:val="252A2E"/>
          <w:sz w:val="20"/>
        </w:rPr>
        <w:t>Ein institutioneller Investor hält 100 Gebäude. 20 Gebäude sind energetisch gut und sozial stabil. 50 Gebäude sind neutral bis leicht positiv. 20 Gebäude weisen hohen Sanierungsbedarf auf. 10 Gebäude zeigen spekulative oder soziale Negativmuster. Eine klassische Portfolioanalyse würde Durchschnittsrendite und Marktwert betrachten. Die WÖk ergänzt: Welche Gebäude erzeugen Wirkungsrisiken, und welche Gebäude tragen positive Stabilität?</w:t>
      </w:r>
    </w:p>
    <w:tbl>
      <w:tblPr>
        <w:tblStyle w:val="TableGrid"/>
        <w:tblW w:type="auto" w:w="0"/>
        <w:tblLook w:firstColumn="1" w:firstRow="1" w:lastColumn="0" w:lastRow="0" w:noHBand="0" w:noVBand="1" w:val="04A0"/>
      </w:tblPr>
      <w:tblGrid>
        <w:gridCol w:w="2016"/>
        <w:gridCol w:w="2016"/>
        <w:gridCol w:w="2016"/>
        <w:gridCol w:w="2016"/>
        <w:gridCol w:w="2016"/>
      </w:tblGrid>
      <w:tr>
        <w:tc>
          <w:tcPr>
            <w:tcW w:type="dxa" w:w="2016"/>
            <w:shd w:fill="001D30"/>
          </w:tcPr>
          <w:p>
            <w:r>
              <w:rPr>
                <w:rFonts w:ascii="Arial" w:hAnsi="Arial"/>
                <w:b/>
                <w:color w:val="FFFFFF"/>
                <w:sz w:val="16"/>
              </w:rPr>
              <w:t>Portfoliogruppe</w:t>
            </w:r>
          </w:p>
        </w:tc>
        <w:tc>
          <w:tcPr>
            <w:tcW w:type="dxa" w:w="2016"/>
            <w:shd w:fill="001D30"/>
          </w:tcPr>
          <w:p>
            <w:r>
              <w:rPr>
                <w:rFonts w:ascii="Arial" w:hAnsi="Arial"/>
                <w:b/>
                <w:color w:val="FFFFFF"/>
                <w:sz w:val="16"/>
              </w:rPr>
              <w:t>Anzahl</w:t>
            </w:r>
          </w:p>
        </w:tc>
        <w:tc>
          <w:tcPr>
            <w:tcW w:type="dxa" w:w="2016"/>
            <w:shd w:fill="001D30"/>
          </w:tcPr>
          <w:p>
            <w:r>
              <w:rPr>
                <w:rFonts w:ascii="Arial" w:hAnsi="Arial"/>
                <w:b/>
                <w:color w:val="FFFFFF"/>
                <w:sz w:val="16"/>
              </w:rPr>
              <w:t>WIX-VI</w:t>
            </w:r>
          </w:p>
        </w:tc>
        <w:tc>
          <w:tcPr>
            <w:tcW w:type="dxa" w:w="2016"/>
            <w:shd w:fill="001D30"/>
          </w:tcPr>
          <w:p>
            <w:r>
              <w:rPr>
                <w:rFonts w:ascii="Arial" w:hAnsi="Arial"/>
                <w:b/>
                <w:color w:val="FFFFFF"/>
                <w:sz w:val="16"/>
              </w:rPr>
              <w:t>Risikotyp</w:t>
            </w:r>
          </w:p>
        </w:tc>
        <w:tc>
          <w:tcPr>
            <w:tcW w:type="dxa" w:w="2016"/>
            <w:shd w:fill="001D30"/>
          </w:tcPr>
          <w:p>
            <w:r>
              <w:rPr>
                <w:rFonts w:ascii="Arial" w:hAnsi="Arial"/>
                <w:b/>
                <w:color w:val="FFFFFF"/>
                <w:sz w:val="16"/>
              </w:rPr>
              <w:t>Strategie</w:t>
            </w:r>
          </w:p>
        </w:tc>
      </w:tr>
      <w:tr>
        <w:tc>
          <w:tcPr>
            <w:tcW w:type="dxa" w:w="2016"/>
          </w:tcPr>
          <w:p>
            <w:r>
              <w:rPr>
                <w:rFonts w:ascii="Arial" w:hAnsi="Arial"/>
                <w:color w:val="252A2E"/>
                <w:sz w:val="16"/>
              </w:rPr>
              <w:t>Vorbildlich</w:t>
            </w:r>
          </w:p>
        </w:tc>
        <w:tc>
          <w:tcPr>
            <w:tcW w:type="dxa" w:w="2016"/>
          </w:tcPr>
          <w:p>
            <w:r>
              <w:rPr>
                <w:rFonts w:ascii="Arial" w:hAnsi="Arial"/>
                <w:color w:val="252A2E"/>
                <w:sz w:val="16"/>
              </w:rPr>
              <w:t>20</w:t>
            </w:r>
          </w:p>
        </w:tc>
        <w:tc>
          <w:tcPr>
            <w:tcW w:type="dxa" w:w="2016"/>
          </w:tcPr>
          <w:p>
            <w:r>
              <w:rPr>
                <w:rFonts w:ascii="Arial" w:hAnsi="Arial"/>
                <w:color w:val="252A2E"/>
                <w:sz w:val="16"/>
              </w:rPr>
              <w:t>+2 bis +3</w:t>
            </w:r>
          </w:p>
        </w:tc>
        <w:tc>
          <w:tcPr>
            <w:tcW w:type="dxa" w:w="2016"/>
          </w:tcPr>
          <w:p>
            <w:r>
              <w:rPr>
                <w:rFonts w:ascii="Arial" w:hAnsi="Arial"/>
                <w:color w:val="252A2E"/>
                <w:sz w:val="16"/>
              </w:rPr>
              <w:t>niedrig</w:t>
            </w:r>
          </w:p>
        </w:tc>
        <w:tc>
          <w:tcPr>
            <w:tcW w:type="dxa" w:w="2016"/>
          </w:tcPr>
          <w:p>
            <w:r>
              <w:rPr>
                <w:rFonts w:ascii="Arial" w:hAnsi="Arial"/>
                <w:color w:val="252A2E"/>
                <w:sz w:val="16"/>
              </w:rPr>
              <w:t>Bonus, Positivlabel, günstiges Kapital</w:t>
            </w:r>
          </w:p>
        </w:tc>
      </w:tr>
      <w:tr>
        <w:tc>
          <w:tcPr>
            <w:tcW w:type="dxa" w:w="2016"/>
          </w:tcPr>
          <w:p>
            <w:r>
              <w:rPr>
                <w:rFonts w:ascii="Arial" w:hAnsi="Arial"/>
                <w:color w:val="252A2E"/>
                <w:sz w:val="16"/>
              </w:rPr>
              <w:t>Stabil</w:t>
            </w:r>
          </w:p>
        </w:tc>
        <w:tc>
          <w:tcPr>
            <w:tcW w:type="dxa" w:w="2016"/>
          </w:tcPr>
          <w:p>
            <w:r>
              <w:rPr>
                <w:rFonts w:ascii="Arial" w:hAnsi="Arial"/>
                <w:color w:val="252A2E"/>
                <w:sz w:val="16"/>
              </w:rPr>
              <w:t>50</w:t>
            </w:r>
          </w:p>
        </w:tc>
        <w:tc>
          <w:tcPr>
            <w:tcW w:type="dxa" w:w="2016"/>
          </w:tcPr>
          <w:p>
            <w:r>
              <w:rPr>
                <w:rFonts w:ascii="Arial" w:hAnsi="Arial"/>
                <w:color w:val="252A2E"/>
                <w:sz w:val="16"/>
              </w:rPr>
              <w:t>0 bis +1</w:t>
            </w:r>
          </w:p>
        </w:tc>
        <w:tc>
          <w:tcPr>
            <w:tcW w:type="dxa" w:w="2016"/>
          </w:tcPr>
          <w:p>
            <w:r>
              <w:rPr>
                <w:rFonts w:ascii="Arial" w:hAnsi="Arial"/>
                <w:color w:val="252A2E"/>
                <w:sz w:val="16"/>
              </w:rPr>
              <w:t>mittel</w:t>
            </w:r>
          </w:p>
        </w:tc>
        <w:tc>
          <w:tcPr>
            <w:tcW w:type="dxa" w:w="2016"/>
          </w:tcPr>
          <w:p>
            <w:r>
              <w:rPr>
                <w:rFonts w:ascii="Arial" w:hAnsi="Arial"/>
                <w:color w:val="252A2E"/>
                <w:sz w:val="16"/>
              </w:rPr>
              <w:t>Sanierungsfahrplan, Daten verbessern</w:t>
            </w:r>
          </w:p>
        </w:tc>
      </w:tr>
      <w:tr>
        <w:tc>
          <w:tcPr>
            <w:tcW w:type="dxa" w:w="2016"/>
          </w:tcPr>
          <w:p>
            <w:r>
              <w:rPr>
                <w:rFonts w:ascii="Arial" w:hAnsi="Arial"/>
                <w:color w:val="252A2E"/>
                <w:sz w:val="16"/>
              </w:rPr>
              <w:t>Sanierungsstau</w:t>
            </w:r>
          </w:p>
        </w:tc>
        <w:tc>
          <w:tcPr>
            <w:tcW w:type="dxa" w:w="2016"/>
          </w:tcPr>
          <w:p>
            <w:r>
              <w:rPr>
                <w:rFonts w:ascii="Arial" w:hAnsi="Arial"/>
                <w:color w:val="252A2E"/>
                <w:sz w:val="16"/>
              </w:rPr>
              <w:t>20</w:t>
            </w:r>
          </w:p>
        </w:tc>
        <w:tc>
          <w:tcPr>
            <w:tcW w:type="dxa" w:w="2016"/>
          </w:tcPr>
          <w:p>
            <w:r>
              <w:rPr>
                <w:rFonts w:ascii="Arial" w:hAnsi="Arial"/>
                <w:color w:val="252A2E"/>
                <w:sz w:val="16"/>
              </w:rPr>
              <w:t>–1 bis –2</w:t>
            </w:r>
          </w:p>
        </w:tc>
        <w:tc>
          <w:tcPr>
            <w:tcW w:type="dxa" w:w="2016"/>
          </w:tcPr>
          <w:p>
            <w:r>
              <w:rPr>
                <w:rFonts w:ascii="Arial" w:hAnsi="Arial"/>
                <w:color w:val="252A2E"/>
                <w:sz w:val="16"/>
              </w:rPr>
              <w:t>Energie/Stranding</w:t>
            </w:r>
          </w:p>
        </w:tc>
        <w:tc>
          <w:tcPr>
            <w:tcW w:type="dxa" w:w="2016"/>
          </w:tcPr>
          <w:p>
            <w:r>
              <w:rPr>
                <w:rFonts w:ascii="Arial" w:hAnsi="Arial"/>
                <w:color w:val="252A2E"/>
                <w:sz w:val="16"/>
              </w:rPr>
              <w:t>Transformations-Capex, Fördermittel</w:t>
            </w:r>
          </w:p>
        </w:tc>
      </w:tr>
      <w:tr>
        <w:tc>
          <w:tcPr>
            <w:tcW w:type="dxa" w:w="2016"/>
          </w:tcPr>
          <w:p>
            <w:r>
              <w:rPr>
                <w:rFonts w:ascii="Arial" w:hAnsi="Arial"/>
                <w:color w:val="252A2E"/>
                <w:sz w:val="16"/>
              </w:rPr>
              <w:t>Spekulationsmuster</w:t>
            </w:r>
          </w:p>
        </w:tc>
        <w:tc>
          <w:tcPr>
            <w:tcW w:type="dxa" w:w="2016"/>
          </w:tcPr>
          <w:p>
            <w:r>
              <w:rPr>
                <w:rFonts w:ascii="Arial" w:hAnsi="Arial"/>
                <w:color w:val="252A2E"/>
                <w:sz w:val="16"/>
              </w:rPr>
              <w:t>10</w:t>
            </w:r>
          </w:p>
        </w:tc>
        <w:tc>
          <w:tcPr>
            <w:tcW w:type="dxa" w:w="2016"/>
          </w:tcPr>
          <w:p>
            <w:r>
              <w:rPr>
                <w:rFonts w:ascii="Arial" w:hAnsi="Arial"/>
                <w:color w:val="252A2E"/>
                <w:sz w:val="16"/>
              </w:rPr>
              <w:t>–2 bis –3</w:t>
            </w:r>
          </w:p>
        </w:tc>
        <w:tc>
          <w:tcPr>
            <w:tcW w:type="dxa" w:w="2016"/>
          </w:tcPr>
          <w:p>
            <w:r>
              <w:rPr>
                <w:rFonts w:ascii="Arial" w:hAnsi="Arial"/>
                <w:color w:val="252A2E"/>
                <w:sz w:val="16"/>
              </w:rPr>
              <w:t>sozial/demokratisch</w:t>
            </w:r>
          </w:p>
        </w:tc>
        <w:tc>
          <w:tcPr>
            <w:tcW w:type="dxa" w:w="2016"/>
          </w:tcPr>
          <w:p>
            <w:r>
              <w:rPr>
                <w:rFonts w:ascii="Arial" w:hAnsi="Arial"/>
                <w:color w:val="252A2E"/>
                <w:sz w:val="16"/>
              </w:rPr>
              <w:t>Malus, Transparenz, Nutzungsauflagen</w:t>
            </w:r>
          </w:p>
        </w:tc>
      </w:tr>
    </w:tbl>
    <w:p/>
    <w:p>
      <w:pPr>
        <w:pStyle w:val="Heading1"/>
      </w:pPr>
      <w:r>
        <w:t>Anhang C – Annahmenboxen für Website-Rechner</w:t>
      </w:r>
    </w:p>
    <w:p>
      <w:pPr>
        <w:spacing w:after="120" w:line="271" w:lineRule="auto"/>
      </w:pPr>
      <w:r>
        <w:rPr>
          <w:rFonts w:ascii="Arial" w:hAnsi="Arial"/>
          <w:b w:val="0"/>
          <w:color w:val="252A2E"/>
          <w:sz w:val="20"/>
        </w:rPr>
        <w:t>Jeder Rechner muss unterscheiden zwischen Quellenwerten, Modellwerten und politischen Arbeitsannahmen. Nutzer:innen müssen erkennen, welche Werte belegt, geschätzt oder frei änderbar sind.</w:t>
      </w:r>
    </w:p>
    <w:tbl>
      <w:tblPr>
        <w:tblStyle w:val="TableGrid"/>
        <w:tblW w:type="auto" w:w="0"/>
        <w:tblLook w:firstColumn="1" w:firstRow="1" w:lastColumn="0" w:lastRow="0" w:noHBand="0" w:noVBand="1" w:val="04A0"/>
      </w:tblPr>
      <w:tblGrid>
        <w:gridCol w:w="3360"/>
        <w:gridCol w:w="3360"/>
        <w:gridCol w:w="3360"/>
      </w:tblGrid>
      <w:tr>
        <w:tc>
          <w:tcPr>
            <w:tcW w:type="dxa" w:w="3360"/>
            <w:shd w:fill="001D30"/>
          </w:tcPr>
          <w:p>
            <w:r>
              <w:rPr>
                <w:rFonts w:ascii="Arial" w:hAnsi="Arial"/>
                <w:b/>
                <w:color w:val="FFFFFF"/>
                <w:sz w:val="16"/>
              </w:rPr>
              <w:t>Wertart</w:t>
            </w:r>
          </w:p>
        </w:tc>
        <w:tc>
          <w:tcPr>
            <w:tcW w:type="dxa" w:w="3360"/>
            <w:shd w:fill="001D30"/>
          </w:tcPr>
          <w:p>
            <w:r>
              <w:rPr>
                <w:rFonts w:ascii="Arial" w:hAnsi="Arial"/>
                <w:b/>
                <w:color w:val="FFFFFF"/>
                <w:sz w:val="16"/>
              </w:rPr>
              <w:t>Beispiel</w:t>
            </w:r>
          </w:p>
        </w:tc>
        <w:tc>
          <w:tcPr>
            <w:tcW w:type="dxa" w:w="3360"/>
            <w:shd w:fill="001D30"/>
          </w:tcPr>
          <w:p>
            <w:r>
              <w:rPr>
                <w:rFonts w:ascii="Arial" w:hAnsi="Arial"/>
                <w:b/>
                <w:color w:val="FFFFFF"/>
                <w:sz w:val="16"/>
              </w:rPr>
              <w:t>Darstellung</w:t>
            </w:r>
          </w:p>
        </w:tc>
      </w:tr>
      <w:tr>
        <w:tc>
          <w:tcPr>
            <w:tcW w:type="dxa" w:w="3360"/>
          </w:tcPr>
          <w:p>
            <w:r>
              <w:rPr>
                <w:rFonts w:ascii="Arial" w:hAnsi="Arial"/>
                <w:color w:val="252A2E"/>
                <w:sz w:val="16"/>
              </w:rPr>
              <w:t>Quellenwert</w:t>
            </w:r>
          </w:p>
        </w:tc>
        <w:tc>
          <w:tcPr>
            <w:tcW w:type="dxa" w:w="3360"/>
          </w:tcPr>
          <w:p>
            <w:r>
              <w:rPr>
                <w:rFonts w:ascii="Arial" w:hAnsi="Arial"/>
                <w:color w:val="252A2E"/>
                <w:sz w:val="16"/>
              </w:rPr>
              <w:t>Energieausweis, Heizkostenabrechnung</w:t>
            </w:r>
          </w:p>
        </w:tc>
        <w:tc>
          <w:tcPr>
            <w:tcW w:type="dxa" w:w="3360"/>
          </w:tcPr>
          <w:p>
            <w:r>
              <w:rPr>
                <w:rFonts w:ascii="Arial" w:hAnsi="Arial"/>
                <w:color w:val="252A2E"/>
                <w:sz w:val="16"/>
              </w:rPr>
              <w:t>fest / importiert / mit Quelle</w:t>
            </w:r>
          </w:p>
        </w:tc>
      </w:tr>
      <w:tr>
        <w:tc>
          <w:tcPr>
            <w:tcW w:type="dxa" w:w="3360"/>
          </w:tcPr>
          <w:p>
            <w:r>
              <w:rPr>
                <w:rFonts w:ascii="Arial" w:hAnsi="Arial"/>
                <w:color w:val="252A2E"/>
                <w:sz w:val="16"/>
              </w:rPr>
              <w:t>Nutzerangabe</w:t>
            </w:r>
          </w:p>
        </w:tc>
        <w:tc>
          <w:tcPr>
            <w:tcW w:type="dxa" w:w="3360"/>
          </w:tcPr>
          <w:p>
            <w:r>
              <w:rPr>
                <w:rFonts w:ascii="Arial" w:hAnsi="Arial"/>
                <w:color w:val="252A2E"/>
                <w:sz w:val="16"/>
              </w:rPr>
              <w:t>Kaltmiete, Nebenkosten, Einkommen</w:t>
            </w:r>
          </w:p>
        </w:tc>
        <w:tc>
          <w:tcPr>
            <w:tcW w:type="dxa" w:w="3360"/>
          </w:tcPr>
          <w:p>
            <w:r>
              <w:rPr>
                <w:rFonts w:ascii="Arial" w:hAnsi="Arial"/>
                <w:color w:val="252A2E"/>
                <w:sz w:val="16"/>
              </w:rPr>
              <w:t>editierbar, Datenschutz-Hinweis</w:t>
            </w:r>
          </w:p>
        </w:tc>
      </w:tr>
      <w:tr>
        <w:tc>
          <w:tcPr>
            <w:tcW w:type="dxa" w:w="3360"/>
          </w:tcPr>
          <w:p>
            <w:r>
              <w:rPr>
                <w:rFonts w:ascii="Arial" w:hAnsi="Arial"/>
                <w:color w:val="252A2E"/>
                <w:sz w:val="16"/>
              </w:rPr>
              <w:t>Modellannahme</w:t>
            </w:r>
          </w:p>
        </w:tc>
        <w:tc>
          <w:tcPr>
            <w:tcW w:type="dxa" w:w="3360"/>
          </w:tcPr>
          <w:p>
            <w:r>
              <w:rPr>
                <w:rFonts w:ascii="Arial" w:hAnsi="Arial"/>
                <w:color w:val="252A2E"/>
                <w:sz w:val="16"/>
              </w:rPr>
              <w:t>Gewicht Klima 25 %, Bezahlbarkeit 25 %</w:t>
            </w:r>
          </w:p>
        </w:tc>
        <w:tc>
          <w:tcPr>
            <w:tcW w:type="dxa" w:w="3360"/>
          </w:tcPr>
          <w:p>
            <w:r>
              <w:rPr>
                <w:rFonts w:ascii="Arial" w:hAnsi="Arial"/>
                <w:color w:val="252A2E"/>
                <w:sz w:val="16"/>
              </w:rPr>
              <w:t>transparent, v0.1</w:t>
            </w:r>
          </w:p>
        </w:tc>
      </w:tr>
      <w:tr>
        <w:tc>
          <w:tcPr>
            <w:tcW w:type="dxa" w:w="3360"/>
          </w:tcPr>
          <w:p>
            <w:r>
              <w:rPr>
                <w:rFonts w:ascii="Arial" w:hAnsi="Arial"/>
                <w:color w:val="252A2E"/>
                <w:sz w:val="16"/>
              </w:rPr>
              <w:t>Politische Annahme</w:t>
            </w:r>
          </w:p>
        </w:tc>
        <w:tc>
          <w:tcPr>
            <w:tcW w:type="dxa" w:w="3360"/>
          </w:tcPr>
          <w:p>
            <w:r>
              <w:rPr>
                <w:rFonts w:ascii="Arial" w:hAnsi="Arial"/>
                <w:color w:val="252A2E"/>
                <w:sz w:val="16"/>
              </w:rPr>
              <w:t>Bonus/Malus oder Steuersatz</w:t>
            </w:r>
          </w:p>
        </w:tc>
        <w:tc>
          <w:tcPr>
            <w:tcW w:type="dxa" w:w="3360"/>
          </w:tcPr>
          <w:p>
            <w:r>
              <w:rPr>
                <w:rFonts w:ascii="Arial" w:hAnsi="Arial"/>
                <w:color w:val="252A2E"/>
                <w:sz w:val="16"/>
              </w:rPr>
              <w:t>als politisch festzulegen markieren</w:t>
            </w:r>
          </w:p>
        </w:tc>
      </w:tr>
      <w:tr>
        <w:tc>
          <w:tcPr>
            <w:tcW w:type="dxa" w:w="3360"/>
          </w:tcPr>
          <w:p>
            <w:r>
              <w:rPr>
                <w:rFonts w:ascii="Arial" w:hAnsi="Arial"/>
                <w:color w:val="252A2E"/>
                <w:sz w:val="16"/>
              </w:rPr>
              <w:t>Unsicherheit</w:t>
            </w:r>
          </w:p>
        </w:tc>
        <w:tc>
          <w:tcPr>
            <w:tcW w:type="dxa" w:w="3360"/>
          </w:tcPr>
          <w:p>
            <w:r>
              <w:rPr>
                <w:rFonts w:ascii="Arial" w:hAnsi="Arial"/>
                <w:color w:val="252A2E"/>
                <w:sz w:val="16"/>
              </w:rPr>
              <w:t>fehlende Daten, Schätzung</w:t>
            </w:r>
          </w:p>
        </w:tc>
        <w:tc>
          <w:tcPr>
            <w:tcW w:type="dxa" w:w="3360"/>
          </w:tcPr>
          <w:p>
            <w:r>
              <w:rPr>
                <w:rFonts w:ascii="Arial" w:hAnsi="Arial"/>
                <w:color w:val="252A2E"/>
                <w:sz w:val="16"/>
              </w:rPr>
              <w:t>Datenqualitätsstufe anzeigen</w:t>
            </w:r>
          </w:p>
        </w:tc>
      </w:tr>
    </w:tbl>
    <w:p/>
    <w:p>
      <w:pPr>
        <w:pStyle w:val="Heading1"/>
      </w:pPr>
      <w:r>
        <w:t>Anhang D – Dossier-Checkliste für Vermieter:innen</w:t>
      </w:r>
    </w:p>
    <w:p>
      <w:pPr>
        <w:pStyle w:val="ListBullet"/>
        <w:spacing w:after="40"/>
      </w:pPr>
      <w:r>
        <w:rPr>
          <w:rFonts w:ascii="Arial" w:hAnsi="Arial"/>
          <w:color w:val="252A2E"/>
          <w:sz w:val="20"/>
        </w:rPr>
        <w:t>Liegt ein aktueller Energieausweis vor?</w:t>
      </w:r>
    </w:p>
    <w:p>
      <w:pPr>
        <w:pStyle w:val="ListBullet"/>
        <w:spacing w:after="40"/>
      </w:pPr>
      <w:r>
        <w:rPr>
          <w:rFonts w:ascii="Arial" w:hAnsi="Arial"/>
          <w:color w:val="252A2E"/>
          <w:sz w:val="20"/>
        </w:rPr>
        <w:t>Gibt es einen Sanierungsfahrplan?</w:t>
      </w:r>
    </w:p>
    <w:p>
      <w:pPr>
        <w:pStyle w:val="ListBullet"/>
        <w:spacing w:after="40"/>
      </w:pPr>
      <w:r>
        <w:rPr>
          <w:rFonts w:ascii="Arial" w:hAnsi="Arial"/>
          <w:color w:val="252A2E"/>
          <w:sz w:val="20"/>
        </w:rPr>
        <w:t>Wie entwickelt sich die Warmmietenbelastung nach der Maßnahme?</w:t>
      </w:r>
    </w:p>
    <w:p>
      <w:pPr>
        <w:pStyle w:val="ListBullet"/>
        <w:spacing w:after="40"/>
      </w:pPr>
      <w:r>
        <w:rPr>
          <w:rFonts w:ascii="Arial" w:hAnsi="Arial"/>
          <w:color w:val="252A2E"/>
          <w:sz w:val="20"/>
        </w:rPr>
        <w:t>Werden Fördermittel transparent berücksichtigt?</w:t>
      </w:r>
    </w:p>
    <w:p>
      <w:pPr>
        <w:pStyle w:val="ListBullet"/>
        <w:spacing w:after="40"/>
      </w:pPr>
      <w:r>
        <w:rPr>
          <w:rFonts w:ascii="Arial" w:hAnsi="Arial"/>
          <w:color w:val="252A2E"/>
          <w:sz w:val="20"/>
        </w:rPr>
        <w:t>Sind Mieter:innen vor und während der Sanierung informiert und beteiligt?</w:t>
      </w:r>
    </w:p>
    <w:p>
      <w:pPr>
        <w:pStyle w:val="ListBullet"/>
        <w:spacing w:after="40"/>
      </w:pPr>
      <w:r>
        <w:rPr>
          <w:rFonts w:ascii="Arial" w:hAnsi="Arial"/>
          <w:color w:val="252A2E"/>
          <w:sz w:val="20"/>
        </w:rPr>
        <w:t>Gibt es Härtefall- oder Rückkehrregelungen?</w:t>
      </w:r>
    </w:p>
    <w:p>
      <w:pPr>
        <w:pStyle w:val="ListBullet"/>
        <w:spacing w:after="40"/>
      </w:pPr>
      <w:r>
        <w:rPr>
          <w:rFonts w:ascii="Arial" w:hAnsi="Arial"/>
          <w:color w:val="252A2E"/>
          <w:sz w:val="20"/>
        </w:rPr>
        <w:t>Sind Nebenkosten und CO2-Kosten verständlich aufgeschlüsselt?</w:t>
      </w:r>
    </w:p>
    <w:p>
      <w:pPr>
        <w:pStyle w:val="ListBullet"/>
        <w:spacing w:after="40"/>
      </w:pPr>
      <w:r>
        <w:rPr>
          <w:rFonts w:ascii="Arial" w:hAnsi="Arial"/>
          <w:color w:val="252A2E"/>
          <w:sz w:val="20"/>
        </w:rPr>
        <w:t>Gibt es Leerstand, Zweckentfremdung oder Umwandlungsdruck?</w:t>
      </w:r>
    </w:p>
    <w:p>
      <w:pPr>
        <w:pStyle w:val="ListBullet"/>
        <w:spacing w:after="40"/>
      </w:pPr>
      <w:r>
        <w:rPr>
          <w:rFonts w:ascii="Arial" w:hAnsi="Arial"/>
          <w:color w:val="252A2E"/>
          <w:sz w:val="20"/>
        </w:rPr>
        <w:t>Ist die Eigentümerstruktur nachvollziehbar?</w:t>
      </w:r>
    </w:p>
    <w:p>
      <w:pPr>
        <w:pStyle w:val="ListBullet"/>
        <w:spacing w:after="40"/>
      </w:pPr>
      <w:r>
        <w:rPr>
          <w:rFonts w:ascii="Arial" w:hAnsi="Arial"/>
          <w:color w:val="252A2E"/>
          <w:sz w:val="20"/>
        </w:rPr>
        <w:t>Welche Quartierswirkung erzeugt das Gebäude?</w:t>
      </w:r>
    </w:p>
    <w:p>
      <w:pPr>
        <w:pStyle w:val="Heading1"/>
      </w:pPr>
      <w:r>
        <w:t>Anhang E – Dossier-Checkliste für Politik und Verwaltung</w:t>
      </w:r>
    </w:p>
    <w:p>
      <w:pPr>
        <w:pStyle w:val="ListBullet"/>
        <w:spacing w:after="40"/>
      </w:pPr>
      <w:r>
        <w:rPr>
          <w:rFonts w:ascii="Arial" w:hAnsi="Arial"/>
          <w:color w:val="252A2E"/>
          <w:sz w:val="20"/>
        </w:rPr>
        <w:t>Welche vorhandenen Daten können ohne neue Bürokratie genutzt werden?</w:t>
      </w:r>
    </w:p>
    <w:p>
      <w:pPr>
        <w:pStyle w:val="ListBullet"/>
        <w:spacing w:after="40"/>
      </w:pPr>
      <w:r>
        <w:rPr>
          <w:rFonts w:ascii="Arial" w:hAnsi="Arial"/>
          <w:color w:val="252A2E"/>
          <w:sz w:val="20"/>
        </w:rPr>
        <w:t>Welche Schutzregeln gelten für Kleinvermieter:innen?</w:t>
      </w:r>
    </w:p>
    <w:p>
      <w:pPr>
        <w:pStyle w:val="ListBullet"/>
        <w:spacing w:after="40"/>
      </w:pPr>
      <w:r>
        <w:rPr>
          <w:rFonts w:ascii="Arial" w:hAnsi="Arial"/>
          <w:color w:val="252A2E"/>
          <w:sz w:val="20"/>
        </w:rPr>
        <w:t>Wie wird Warmmietenneutralität geprüft?</w:t>
      </w:r>
    </w:p>
    <w:p>
      <w:pPr>
        <w:pStyle w:val="ListBullet"/>
        <w:spacing w:after="40"/>
      </w:pPr>
      <w:r>
        <w:rPr>
          <w:rFonts w:ascii="Arial" w:hAnsi="Arial"/>
          <w:color w:val="252A2E"/>
          <w:sz w:val="20"/>
        </w:rPr>
        <w:t>Wie werden Zweckentfremdung, Leerstand und Bodenhortung erfasst?</w:t>
      </w:r>
    </w:p>
    <w:p>
      <w:pPr>
        <w:pStyle w:val="ListBullet"/>
        <w:spacing w:after="40"/>
      </w:pPr>
      <w:r>
        <w:rPr>
          <w:rFonts w:ascii="Arial" w:hAnsi="Arial"/>
          <w:color w:val="252A2E"/>
          <w:sz w:val="20"/>
        </w:rPr>
        <w:t>Welche kommunalen Instrumente sind bereits vorhanden?</w:t>
      </w:r>
    </w:p>
    <w:p>
      <w:pPr>
        <w:pStyle w:val="ListBullet"/>
        <w:spacing w:after="40"/>
      </w:pPr>
      <w:r>
        <w:rPr>
          <w:rFonts w:ascii="Arial" w:hAnsi="Arial"/>
          <w:color w:val="252A2E"/>
          <w:sz w:val="20"/>
        </w:rPr>
        <w:t>Wie werden Fördermittel wirkungsorientiert priorisiert?</w:t>
      </w:r>
    </w:p>
    <w:p>
      <w:pPr>
        <w:pStyle w:val="ListBullet"/>
        <w:spacing w:after="40"/>
      </w:pPr>
      <w:r>
        <w:rPr>
          <w:rFonts w:ascii="Arial" w:hAnsi="Arial"/>
          <w:color w:val="252A2E"/>
          <w:sz w:val="20"/>
        </w:rPr>
        <w:t>Wie bleibt Rechtsschutz für Eigentümer:innen und Mieter:innen gewährleistet?</w:t>
      </w:r>
    </w:p>
    <w:p>
      <w:pPr>
        <w:pStyle w:val="ListBullet"/>
        <w:spacing w:after="40"/>
      </w:pPr>
      <w:r>
        <w:rPr>
          <w:rFonts w:ascii="Arial" w:hAnsi="Arial"/>
          <w:color w:val="252A2E"/>
          <w:sz w:val="20"/>
        </w:rPr>
        <w:t>Welche Evaluationszyklen und öffentliche Konsultationen sind vorgesehen?</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252A2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252A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01D30"/>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01D30"/>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01D30"/>
      <w:sz w:val="25"/>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Georgia" w:hAnsi="Georgia"/>
      <w:b/>
      <w:bCs/>
      <w:i/>
      <w:iCs/>
      <w:color w:val="001D30"/>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QuoteWoeK">
    <w:name w:val="QuoteWoeK"/>
    <w:pPr>
      <w:spacing w:before="160" w:after="160"/>
      <w:ind w:left="360" w:right="360"/>
    </w:pPr>
    <w:rPr>
      <w:rFonts w:ascii="Georgia" w:hAnsi="Georgia"/>
      <w:i/>
      <w:color w:val="001D3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