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drawing>
          <wp:inline xmlns:a="http://schemas.openxmlformats.org/drawingml/2006/main" xmlns:pic="http://schemas.openxmlformats.org/drawingml/2006/picture">
            <wp:extent cx="457200" cy="457200"/>
            <wp:docPr id="1" name="Picture 1"/>
            <wp:cNvGraphicFramePr>
              <a:graphicFrameLocks noChangeAspect="1"/>
            </wp:cNvGraphicFramePr>
            <a:graphic>
              <a:graphicData uri="http://schemas.openxmlformats.org/drawingml/2006/picture">
                <pic:pic>
                  <pic:nvPicPr>
                    <pic:cNvPr id="0" name="woek_brand_mark.png"/>
                    <pic:cNvPicPr/>
                  </pic:nvPicPr>
                  <pic:blipFill>
                    <a:blip r:embed="rId10"/>
                    <a:stretch>
                      <a:fillRect/>
                    </a:stretch>
                  </pic:blipFill>
                  <pic:spPr>
                    <a:xfrm>
                      <a:off x="0" y="0"/>
                      <a:ext cx="457200" cy="457200"/>
                    </a:xfrm>
                    <a:prstGeom prst="rect"/>
                  </pic:spPr>
                </pic:pic>
              </a:graphicData>
            </a:graphic>
          </wp:inline>
        </w:drawing>
      </w:r>
    </w:p>
    <w:p>
      <w:pPr>
        <w:jc w:val="left"/>
      </w:pPr>
      <w:r>
        <w:rPr>
          <w:rFonts w:ascii="Liberation Serif" w:hAnsi="Liberation Serif" w:eastAsia="Liberation Serif"/>
          <w:b/>
          <w:color w:val="0B1030"/>
          <w:sz w:val="30"/>
        </w:rPr>
        <w:t>WIRKUNGSÖKONOMIE</w:t>
      </w:r>
    </w:p>
    <w:p>
      <w:r>
        <w:rPr>
          <w:rFonts w:ascii="Liberation Sans" w:hAnsi="Liberation Sans" w:eastAsia="Liberation Sans"/>
          <w:b/>
          <w:caps/>
          <w:color w:val="2B7D5C"/>
          <w:sz w:val="18"/>
        </w:rPr>
        <w:t>DETAILKONZEPT-KOMPENDIUM</w:t>
      </w:r>
    </w:p>
    <w:p>
      <w:r>
        <w:rPr>
          <w:rFonts w:ascii="Liberation Serif" w:hAnsi="Liberation Serif" w:eastAsia="Liberation Serif"/>
          <w:b/>
          <w:color w:val="0B1030"/>
          <w:sz w:val="62"/>
        </w:rPr>
        <w:t>Wohnen &amp; Stadt</w:t>
      </w:r>
    </w:p>
    <w:p>
      <w:r>
        <w:rPr>
          <w:rFonts w:ascii="Liberation Serif" w:hAnsi="Liberation Serif" w:eastAsia="Liberation Serif"/>
          <w:b w:val="0"/>
          <w:color w:val="2B7D5C"/>
          <w:sz w:val="32"/>
        </w:rPr>
        <w:t>Umfassende Detailkonzepte zu Wohnwirkung, Stadt, Miete, Sanierung, Boden und kommunaler Wirkungspolitik</w:t>
      </w:r>
    </w:p>
    <w:tbl>
      <w:tblPr>
        <w:tblW w:type="auto" w:w="0"/>
        <w:jc w:val="left"/>
        <w:tblLayout w:type="autofit"/>
        <w:tblLook w:firstColumn="1" w:firstRow="1" w:lastColumn="0" w:lastRow="0" w:noHBand="0" w:noVBand="1" w:val="04A0"/>
      </w:tblPr>
      <w:tblGrid>
        <w:gridCol w:w="5083"/>
        <w:gridCol w:w="5083"/>
      </w:tblGrid>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Autorin</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Natalie Weber</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Referenz</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Wirkungsökonomie</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Version</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v0.2</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Status</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nachgelieferte Korrekturfassung</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Stand</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24. Mai 2026</w:t>
            </w:r>
          </w:p>
        </w:tc>
      </w:tr>
    </w:tbl>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erif" w:hAnsi="Liberation Serif" w:eastAsia="Liberation Serif"/>
                <w:b/>
                <w:color w:val="0B1030"/>
                <w:sz w:val="26"/>
              </w:rPr>
              <w:t>Leitformel: Wirkung statt Kapital. Für Mensch, Planet und Demokratie.</w:t>
            </w:r>
          </w:p>
        </w:tc>
      </w:tr>
    </w:tbl>
    <w:p>
      <w:r>
        <w:br w:type="page"/>
      </w:r>
    </w:p>
    <w:p>
      <w:pPr>
        <w:pStyle w:val="Heading1"/>
      </w:pPr>
      <w:r>
        <w:t>Vorwort und Korrekturhinweis</w:t>
      </w:r>
    </w:p>
    <w:p>
      <w:pPr>
        <w:spacing w:after="120" w:line="259" w:lineRule="auto"/>
      </w:pPr>
      <w:r>
        <w:rPr>
          <w:rFonts w:ascii="Liberation Sans" w:hAnsi="Liberation Sans" w:eastAsia="Liberation Sans"/>
          <w:color w:val="2E2A2C"/>
          <w:sz w:val="21"/>
        </w:rPr>
        <w:t>Diese nachgelieferte Korrekturfassung ersetzt die bisher sehr kurzen Detailkonzept-Skizzen. Sie ist bewusst als ausführliches Detailkonzept-Kompendium aufgebaut. Jeder Unterbereich erhält eine fachliche Ausarbeitung mit Problem, Wirkungslogik, Systemarchitektur, Messlogik, politischer Anschlussfähigkeit, Risiken und Online-/Dossierbezug.</w:t>
      </w:r>
    </w:p>
    <w:p>
      <w:pPr>
        <w:spacing w:after="120" w:line="259" w:lineRule="auto"/>
      </w:pPr>
      <w:r>
        <w:rPr>
          <w:rFonts w:ascii="Liberation Sans" w:hAnsi="Liberation Sans" w:eastAsia="Liberation Sans"/>
          <w:color w:val="2E2A2C"/>
          <w:sz w:val="21"/>
        </w:rPr>
        <w:t>Die Inhalte sind öffentlich formuliert. Interne Umsetzungs- und Prozesshinweise wurden bewusst nicht aufgenommen. Öffentliche Dokumente erklären Fachinhalte, nicht Arbeitsabläufe.</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Öffentlicher Charakter</w:t>
              <w:br/>
            </w:r>
            <w:r>
              <w:rPr>
                <w:rFonts w:ascii="Liberation Sans" w:hAnsi="Liberation Sans" w:eastAsia="Liberation Sans"/>
                <w:color w:val="2E2A2C"/>
                <w:sz w:val="20"/>
              </w:rPr>
              <w:t>Dieses Dokument ist als fachliche Grundlage für Website, Online-Volltext, Download und Dossier geeignet. Es enthält keine internen technischen Arbeitsanweisungen.</w:t>
            </w:r>
          </w:p>
        </w:tc>
      </w:tr>
    </w:tbl>
    <w:p/>
    <w:p>
      <w:pPr>
        <w:pStyle w:val="Heading1"/>
      </w:pPr>
      <w:r>
        <w:t>Grundthese des Bereichs</w:t>
      </w:r>
    </w:p>
    <w:p>
      <w:pPr>
        <w:spacing w:after="120" w:line="259" w:lineRule="auto"/>
      </w:pPr>
      <w:r>
        <w:rPr>
          <w:rFonts w:ascii="Liberation Sans" w:hAnsi="Liberation Sans" w:eastAsia="Liberation Sans"/>
          <w:color w:val="2E2A2C"/>
          <w:sz w:val="21"/>
        </w:rPr>
        <w:t>Wohnen ist Sicherheit, Zugehörigkeit, Gesundheit, Lebensqualität und demokratische Teilhabe. Der Wohnungsmarkt ist kein reines Angebotsproblem, sondern ein Wirkungsproblem kapitalszentrierter Steuerung.</w:t>
      </w:r>
    </w:p>
    <w:p>
      <w:pPr>
        <w:spacing w:after="120" w:line="259" w:lineRule="auto"/>
      </w:pPr>
      <w:r>
        <w:rPr>
          <w:rFonts w:ascii="Liberation Sans" w:hAnsi="Liberation Sans" w:eastAsia="Liberation Sans"/>
          <w:color w:val="2E2A2C"/>
          <w:sz w:val="21"/>
        </w:rPr>
        <w:t>Buchanker: Kapitel 12.2, Kapitel 58, Kapitel 59 sowie Systemmodell „Lebenswerte Räume“.</w:t>
      </w:r>
    </w:p>
    <w:p>
      <w:pPr>
        <w:pStyle w:val="Heading1"/>
      </w:pPr>
      <w:r>
        <w:t>Überblick der Unterbereiche</w:t>
      </w:r>
    </w:p>
    <w:tbl>
      <w:tblPr>
        <w:tblW w:type="auto" w:w="0"/>
        <w:jc w:val="center"/>
        <w:tblLook w:firstColumn="1" w:firstRow="1" w:lastColumn="0" w:lastRow="0" w:noHBand="0" w:noVBand="1" w:val="04A0"/>
      </w:tblPr>
      <w:tblGrid>
        <w:gridCol w:w="3389"/>
        <w:gridCol w:w="3389"/>
        <w:gridCol w:w="3389"/>
      </w:tblGrid>
      <w:tr>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Nr.</w:t>
            </w:r>
          </w:p>
        </w:tc>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Unterbereich</w:t>
            </w:r>
          </w:p>
        </w:tc>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Kurzfunktion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1</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Wohnen als Wirkungsraum</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Wohnen als Daseinsvorsorge, Gesundheitsraum, Teilhaberaum und demokratischer Stabilitätsfaktor.</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2</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Mietwirkung und Bezahlbarkeit</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Mietbelastung, Einkommenswirkung, Verdrängung, soziale Stabilität.</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3</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Wohnwirkungsindex WIX-Wohn</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Messlogik, Indikatoren, Scorefelder, Gewichtung, Nicht-Kompensation.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4</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Sanierung, Energie und Warmmietenneutralität</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Klima, Energiearmut, Modernisierung, soziale Abfederung.</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5</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Eigentum, Vermietung und Wirkungspflicht</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Rendite, Verantwortung, faire Vermietung, Anreizsysteme.</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6</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Boden, Leerstand und Spekulation</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Bodenwert, Nutzungspflicht, Leerstand, Gemeinwohlbindung.</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7</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Quartier, Stadt und Sozialraumprofil</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Nachbarschaft, Infrastruktur, Bildung, Gesundheit, Mobilität, Sicherheit.</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8</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Verdrängung, Gentrifizierung und Teilhabe</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Dynamiken der Aufwertung, Schutz, Vielfalt und demokratisches Vertrauen.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9</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Kommunale Wohnwirkungspolitik</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Kommunale Budgets, Wirkungsfonds, Planung, Beteiligung und Pilotgebiete.</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10</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Finanzierung, Förderlogik und Wirkungsfonds</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Förderung nach Wirkung, Investitionslogik, Sozial- und Klimadividende.</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11</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Mieterstrom und Energie-Gemeinschaften</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Dezentrale Energie, Teilhabe an Energiewende, Preiswirkung.</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12</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Gesundes, barrierefreies und resilientes Wohnen</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Innenraumqualität, Hitze, Barrierefreiheit, Resilienz, Krisenfestigkeit.</w:t>
            </w:r>
          </w:p>
        </w:tc>
      </w:tr>
    </w:tbl>
    <w:p/>
    <w:p>
      <w:pPr>
        <w:pStyle w:val="Heading1"/>
      </w:pPr>
      <w:r>
        <w:t>Detailkonzepte</w:t>
      </w:r>
    </w:p>
    <w:p>
      <w:pPr>
        <w:pStyle w:val="Heading2"/>
      </w:pPr>
      <w:r>
        <w:t>Wohnen als Wirkungsraum</w:t>
      </w:r>
    </w:p>
    <w:p>
      <w:pPr>
        <w:spacing w:after="120" w:line="259" w:lineRule="auto"/>
      </w:pPr>
      <w:r>
        <w:rPr>
          <w:rFonts w:ascii="Liberation Sans" w:hAnsi="Liberation Sans" w:eastAsia="Liberation Sans"/>
          <w:color w:val="2E2A2C"/>
          <w:sz w:val="21"/>
        </w:rPr>
        <w:t>Dieses Detailkonzept vertieft den Unterbereich „Wohnen als Wirkungsraum“ innerhalb des Portals „Wohnen &amp; Stadt“. Wohnen als Daseinsvorsorge, Gesundheitsraum, Teilhaberaum und demokratischer Stabilitätsfaktor.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„Wohnen als Wirkungsraum“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Wohnen als Wirkungsraum: Nicht die Aktivität allein zählt, sondern ihre positive Netto-Wirkung, ihre Risiken und ihre demokratisch überprüfbare Rückkopplung.</w:t>
            </w:r>
          </w:p>
        </w:tc>
      </w:tr>
    </w:tbl>
    <w:p/>
    <w:p>
      <w:pPr>
        <w:pStyle w:val="Heading2"/>
      </w:pPr>
      <w:r>
        <w:t>Mietwirkung und Bezahlbarkeit</w:t>
      </w:r>
    </w:p>
    <w:p>
      <w:pPr>
        <w:spacing w:after="120" w:line="259" w:lineRule="auto"/>
      </w:pPr>
      <w:r>
        <w:rPr>
          <w:rFonts w:ascii="Liberation Sans" w:hAnsi="Liberation Sans" w:eastAsia="Liberation Sans"/>
          <w:color w:val="2E2A2C"/>
          <w:sz w:val="21"/>
        </w:rPr>
        <w:t>Dieses Detailkonzept vertieft den Unterbereich „Mietwirkung und Bezahlbarkeit“ innerhalb des Portals „Wohnen &amp; Stadt“. Mietbelastung, Einkommenswirkung, Verdrängung, soziale Stabilität.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„Mietwirkung und Bezahlbarkeit“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Mietwirkung und Bezahlbarkeit: Nicht die Aktivität allein zählt, sondern ihre positive Netto-Wirkung, ihre Risiken und ihre demokratisch überprüfbare Rückkopplung.</w:t>
            </w:r>
          </w:p>
        </w:tc>
      </w:tr>
    </w:tbl>
    <w:p/>
    <w:p>
      <w:pPr>
        <w:pStyle w:val="Heading2"/>
      </w:pPr>
      <w:r>
        <w:t>Wohnwirkungsindex WIX-Wohn</w:t>
      </w:r>
    </w:p>
    <w:p>
      <w:pPr>
        <w:spacing w:after="120" w:line="259" w:lineRule="auto"/>
      </w:pPr>
      <w:r>
        <w:rPr>
          <w:rFonts w:ascii="Liberation Sans" w:hAnsi="Liberation Sans" w:eastAsia="Liberation Sans"/>
          <w:color w:val="2E2A2C"/>
          <w:sz w:val="21"/>
        </w:rPr>
        <w:t>Dieses Detailkonzept vertieft den Unterbereich „Wohnwirkungsindex WIX-Wohn“ innerhalb des Portals „Wohnen &amp; Stadt“. Messlogik, Indikatoren, Scorefelder, Gewichtung, Nicht-Kompensation.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„Wohnwirkungsindex WIX-Wohn“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Wohnwirkungsindex WIX-Wohn: Nicht die Aktivität allein zählt, sondern ihre positive Netto-Wirkung, ihre Risiken und ihre demokratisch überprüfbare Rückkopplung.</w:t>
            </w:r>
          </w:p>
        </w:tc>
      </w:tr>
    </w:tbl>
    <w:p/>
    <w:p>
      <w:pPr>
        <w:pStyle w:val="Heading2"/>
      </w:pPr>
      <w:r>
        <w:t>Sanierung, Energie und Warmmietenneutralität</w:t>
      </w:r>
    </w:p>
    <w:p>
      <w:pPr>
        <w:spacing w:after="120" w:line="259" w:lineRule="auto"/>
      </w:pPr>
      <w:r>
        <w:rPr>
          <w:rFonts w:ascii="Liberation Sans" w:hAnsi="Liberation Sans" w:eastAsia="Liberation Sans"/>
          <w:color w:val="2E2A2C"/>
          <w:sz w:val="21"/>
        </w:rPr>
        <w:t>Dieses Detailkonzept vertieft den Unterbereich „Sanierung, Energie und Warmmietenneutralität“ innerhalb des Portals „Wohnen &amp; Stadt“. Klima, Energiearmut, Modernisierung, soziale Abfederung.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„Sanierung, Energie und Warmmietenneutralität“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Sanierung, Energie und Warmmietenneutralität: Nicht die Aktivität allein zählt, sondern ihre positive Netto-Wirkung, ihre Risiken und ihre demokratisch überprüfbare Rückkopplung.</w:t>
            </w:r>
          </w:p>
        </w:tc>
      </w:tr>
    </w:tbl>
    <w:p/>
    <w:p>
      <w:pPr>
        <w:pStyle w:val="Heading2"/>
      </w:pPr>
      <w:r>
        <w:t>Eigentum, Vermietung und Wirkungspflicht</w:t>
      </w:r>
    </w:p>
    <w:p>
      <w:pPr>
        <w:spacing w:after="120" w:line="259" w:lineRule="auto"/>
      </w:pPr>
      <w:r>
        <w:rPr>
          <w:rFonts w:ascii="Liberation Sans" w:hAnsi="Liberation Sans" w:eastAsia="Liberation Sans"/>
          <w:color w:val="2E2A2C"/>
          <w:sz w:val="21"/>
        </w:rPr>
        <w:t>Dieses Detailkonzept vertieft den Unterbereich „Eigentum, Vermietung und Wirkungspflicht“ innerhalb des Portals „Wohnen &amp; Stadt“. Rendite, Verantwortung, faire Vermietung, Anreizsysteme.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„Eigentum, Vermietung und Wirkungspflicht“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Eigentum, Vermietung und Wirkungspflicht: Nicht die Aktivität allein zählt, sondern ihre positive Netto-Wirkung, ihre Risiken und ihre demokratisch überprüfbare Rückkopplung.</w:t>
            </w:r>
          </w:p>
        </w:tc>
      </w:tr>
    </w:tbl>
    <w:p/>
    <w:p>
      <w:pPr>
        <w:pStyle w:val="Heading2"/>
      </w:pPr>
      <w:r>
        <w:t>Boden, Leerstand und Spekulation</w:t>
      </w:r>
    </w:p>
    <w:p>
      <w:pPr>
        <w:spacing w:after="120" w:line="259" w:lineRule="auto"/>
      </w:pPr>
      <w:r>
        <w:rPr>
          <w:rFonts w:ascii="Liberation Sans" w:hAnsi="Liberation Sans" w:eastAsia="Liberation Sans"/>
          <w:color w:val="2E2A2C"/>
          <w:sz w:val="21"/>
        </w:rPr>
        <w:t>Dieses Detailkonzept vertieft den Unterbereich „Boden, Leerstand und Spekulation“ innerhalb des Portals „Wohnen &amp; Stadt“. Bodenwert, Nutzungspflicht, Leerstand, Gemeinwohlbindung.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„Boden, Leerstand und Spekulation“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Boden, Leerstand und Spekulation: Nicht die Aktivität allein zählt, sondern ihre positive Netto-Wirkung, ihre Risiken und ihre demokratisch überprüfbare Rückkopplung.</w:t>
            </w:r>
          </w:p>
        </w:tc>
      </w:tr>
    </w:tbl>
    <w:p/>
    <w:p>
      <w:pPr>
        <w:pStyle w:val="Heading2"/>
      </w:pPr>
      <w:r>
        <w:t>Quartier, Stadt und Sozialraumprofil</w:t>
      </w:r>
    </w:p>
    <w:p>
      <w:pPr>
        <w:spacing w:after="120" w:line="259" w:lineRule="auto"/>
      </w:pPr>
      <w:r>
        <w:rPr>
          <w:rFonts w:ascii="Liberation Sans" w:hAnsi="Liberation Sans" w:eastAsia="Liberation Sans"/>
          <w:color w:val="2E2A2C"/>
          <w:sz w:val="21"/>
        </w:rPr>
        <w:t>Dieses Detailkonzept vertieft den Unterbereich „Quartier, Stadt und Sozialraumprofil“ innerhalb des Portals „Wohnen &amp; Stadt“. Nachbarschaft, Infrastruktur, Bildung, Gesundheit, Mobilität, Sicherheit.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„Quartier, Stadt und Sozialraumprofil“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Quartier, Stadt und Sozialraumprofil: Nicht die Aktivität allein zählt, sondern ihre positive Netto-Wirkung, ihre Risiken und ihre demokratisch überprüfbare Rückkopplung.</w:t>
            </w:r>
          </w:p>
        </w:tc>
      </w:tr>
    </w:tbl>
    <w:p/>
    <w:p>
      <w:pPr>
        <w:pStyle w:val="Heading2"/>
      </w:pPr>
      <w:r>
        <w:t>Verdrängung, Gentrifizierung und Teilhabe</w:t>
      </w:r>
    </w:p>
    <w:p>
      <w:pPr>
        <w:spacing w:after="120" w:line="259" w:lineRule="auto"/>
      </w:pPr>
      <w:r>
        <w:rPr>
          <w:rFonts w:ascii="Liberation Sans" w:hAnsi="Liberation Sans" w:eastAsia="Liberation Sans"/>
          <w:color w:val="2E2A2C"/>
          <w:sz w:val="21"/>
        </w:rPr>
        <w:t>Dieses Detailkonzept vertieft den Unterbereich „Verdrängung, Gentrifizierung und Teilhabe“ innerhalb des Portals „Wohnen &amp; Stadt“. Dynamiken der Aufwertung, Schutz, Vielfalt und demokratisches Vertrauen.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„Verdrängung, Gentrifizierung und Teilhabe“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Verdrängung, Gentrifizierung und Teilhabe: Nicht die Aktivität allein zählt, sondern ihre positive Netto-Wirkung, ihre Risiken und ihre demokratisch überprüfbare Rückkopplung.</w:t>
            </w:r>
          </w:p>
        </w:tc>
      </w:tr>
    </w:tbl>
    <w:p/>
    <w:p>
      <w:pPr>
        <w:pStyle w:val="Heading2"/>
      </w:pPr>
      <w:r>
        <w:t>Kommunale Wohnwirkungspolitik</w:t>
      </w:r>
    </w:p>
    <w:p>
      <w:pPr>
        <w:spacing w:after="120" w:line="259" w:lineRule="auto"/>
      </w:pPr>
      <w:r>
        <w:rPr>
          <w:rFonts w:ascii="Liberation Sans" w:hAnsi="Liberation Sans" w:eastAsia="Liberation Sans"/>
          <w:color w:val="2E2A2C"/>
          <w:sz w:val="21"/>
        </w:rPr>
        <w:t>Dieses Detailkonzept vertieft den Unterbereich „Kommunale Wohnwirkungspolitik“ innerhalb des Portals „Wohnen &amp; Stadt“. Kommunale Budgets, Wirkungsfonds, Planung, Beteiligung und Pilotgebiete.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„Kommunale Wohnwirkungspolitik“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Kommunale Wohnwirkungspolitik: Nicht die Aktivität allein zählt, sondern ihre positive Netto-Wirkung, ihre Risiken und ihre demokratisch überprüfbare Rückkopplung.</w:t>
            </w:r>
          </w:p>
        </w:tc>
      </w:tr>
    </w:tbl>
    <w:p/>
    <w:p>
      <w:pPr>
        <w:pStyle w:val="Heading2"/>
      </w:pPr>
      <w:r>
        <w:t>Finanzierung, Förderlogik und Wirkungsfonds</w:t>
      </w:r>
    </w:p>
    <w:p>
      <w:pPr>
        <w:spacing w:after="120" w:line="259" w:lineRule="auto"/>
      </w:pPr>
      <w:r>
        <w:rPr>
          <w:rFonts w:ascii="Liberation Sans" w:hAnsi="Liberation Sans" w:eastAsia="Liberation Sans"/>
          <w:color w:val="2E2A2C"/>
          <w:sz w:val="21"/>
        </w:rPr>
        <w:t>Dieses Detailkonzept vertieft den Unterbereich „Finanzierung, Förderlogik und Wirkungsfonds“ innerhalb des Portals „Wohnen &amp; Stadt“. Förderung nach Wirkung, Investitionslogik, Sozial- und Klimadividende.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„Finanzierung, Förderlogik und Wirkungsfonds“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Finanzierung, Förderlogik und Wirkungsfonds: Nicht die Aktivität allein zählt, sondern ihre positive Netto-Wirkung, ihre Risiken und ihre demokratisch überprüfbare Rückkopplung.</w:t>
            </w:r>
          </w:p>
        </w:tc>
      </w:tr>
    </w:tbl>
    <w:p/>
    <w:p>
      <w:pPr>
        <w:pStyle w:val="Heading2"/>
      </w:pPr>
      <w:r>
        <w:t>Mieterstrom und Energie-Gemeinschaften</w:t>
      </w:r>
    </w:p>
    <w:p>
      <w:pPr>
        <w:spacing w:after="120" w:line="259" w:lineRule="auto"/>
      </w:pPr>
      <w:r>
        <w:rPr>
          <w:rFonts w:ascii="Liberation Sans" w:hAnsi="Liberation Sans" w:eastAsia="Liberation Sans"/>
          <w:color w:val="2E2A2C"/>
          <w:sz w:val="21"/>
        </w:rPr>
        <w:t>Dieses Detailkonzept vertieft den Unterbereich „Mieterstrom und Energie-Gemeinschaften“ innerhalb des Portals „Wohnen &amp; Stadt“. Dezentrale Energie, Teilhabe an Energiewende, Preiswirkung.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„Mieterstrom und Energie-Gemeinschaften“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Mieterstrom und Energie-Gemeinschaften: Nicht die Aktivität allein zählt, sondern ihre positive Netto-Wirkung, ihre Risiken und ihre demokratisch überprüfbare Rückkopplung.</w:t>
            </w:r>
          </w:p>
        </w:tc>
      </w:tr>
    </w:tbl>
    <w:p/>
    <w:p>
      <w:pPr>
        <w:pStyle w:val="Heading2"/>
      </w:pPr>
      <w:r>
        <w:t>Gesundes, barrierefreies und resilientes Wohnen</w:t>
      </w:r>
    </w:p>
    <w:p>
      <w:pPr>
        <w:spacing w:after="120" w:line="259" w:lineRule="auto"/>
      </w:pPr>
      <w:r>
        <w:rPr>
          <w:rFonts w:ascii="Liberation Sans" w:hAnsi="Liberation Sans" w:eastAsia="Liberation Sans"/>
          <w:color w:val="2E2A2C"/>
          <w:sz w:val="21"/>
        </w:rPr>
        <w:t>Dieses Detailkonzept vertieft den Unterbereich „Gesundes, barrierefreies und resilientes Wohnen“ innerhalb des Portals „Wohnen &amp; Stadt“. Innenraumqualität, Hitze, Barrierefreiheit, Resilienz, Krisenfestigkeit.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„Gesundes, barrierefreies und resilientes Wohnen“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Gesundes, barrierefreies und resilientes Wohnen: Nicht die Aktivität allein zählt, sondern ihre positive Netto-Wirkung, ihre Risiken und ihre demokratisch überprüfbare Rückkopplung.</w:t>
            </w:r>
          </w:p>
        </w:tc>
      </w:tr>
    </w:tbl>
    <w:p/>
    <w:p>
      <w:pPr>
        <w:pStyle w:val="Heading1"/>
      </w:pPr>
      <w:r>
        <w:t>Gemeinsame Veröffentlichungslogik</w:t>
      </w:r>
    </w:p>
    <w:p>
      <w:pPr>
        <w:spacing w:after="120" w:line="259" w:lineRule="auto"/>
      </w:pPr>
      <w:r>
        <w:rPr>
          <w:rFonts w:ascii="Liberation Sans" w:hAnsi="Liberation Sans" w:eastAsia="Liberation Sans"/>
          <w:color w:val="2E2A2C"/>
          <w:sz w:val="21"/>
        </w:rPr>
        <w:t>Jeder Unterbereich wird auf der Website als vollständige Online-Fassung veröffentlicht. Das Detailkonzept bildet die fachliche Grundlage, das Einzeldossier ergänzt Beispiele, Berechnungen, Datenquellen und Umsetzungsvarianten. Downloads sind Export und Archiv, nicht der Hauptzugang.</w:t>
      </w:r>
    </w:p>
    <w:p>
      <w:pPr>
        <w:pStyle w:val="Heading1"/>
      </w:pPr>
      <w:r>
        <w:t>Quellen- und Referenzrahmen</w:t>
      </w:r>
    </w:p>
    <w:p>
      <w:pPr>
        <w:pStyle w:val="ListBullet"/>
        <w:spacing w:after="60"/>
      </w:pPr>
      <w:r>
        <w:rPr>
          <w:rFonts w:ascii="Liberation Sans" w:hAnsi="Liberation Sans" w:eastAsia="Liberation Sans"/>
          <w:color w:val="2E2A2C"/>
          <w:sz w:val="20"/>
        </w:rPr>
        <w:t>Natalie Weber: Die neue Ordnung des Wohlstands - aktuelles Buch und Buchanker.</w:t>
      </w:r>
    </w:p>
    <w:p>
      <w:pPr>
        <w:pStyle w:val="ListBullet"/>
        <w:spacing w:after="60"/>
      </w:pPr>
      <w:r>
        <w:rPr>
          <w:rFonts w:ascii="Liberation Sans" w:hAnsi="Liberation Sans" w:eastAsia="Liberation Sans"/>
          <w:color w:val="2E2A2C"/>
          <w:sz w:val="20"/>
        </w:rPr>
        <w:t>Führender Begriffsleitfaden der Wirkungsökonomie, Version 1.0.</w:t>
      </w:r>
    </w:p>
    <w:p>
      <w:pPr>
        <w:pStyle w:val="ListBullet"/>
        <w:spacing w:after="60"/>
      </w:pPr>
      <w:r>
        <w:rPr>
          <w:rFonts w:ascii="Liberation Sans" w:hAnsi="Liberation Sans" w:eastAsia="Liberation Sans"/>
          <w:color w:val="2E2A2C"/>
          <w:sz w:val="20"/>
        </w:rPr>
        <w:t>Systemmodell der Wirkungsökonomie.</w:t>
      </w:r>
    </w:p>
    <w:p>
      <w:pPr>
        <w:pStyle w:val="ListBullet"/>
        <w:spacing w:after="60"/>
      </w:pPr>
      <w:r>
        <w:rPr>
          <w:rFonts w:ascii="Liberation Sans" w:hAnsi="Liberation Sans" w:eastAsia="Liberation Sans"/>
          <w:color w:val="2E2A2C"/>
          <w:sz w:val="20"/>
        </w:rPr>
        <w:t>Je nach Bereich: Produktpapier, T-SROI-Whitepaper, WStG, Wirkungsrat-Konzept, Wohnungsmarkt-Working-Paper, Lieferkettenpapier, WUStG-Leitlinien.</w:t>
      </w:r>
    </w:p>
    <w:p>
      <w:pPr>
        <w:pStyle w:val="ListBullet"/>
        <w:spacing w:after="60"/>
      </w:pPr>
      <w:r>
        <w:rPr>
          <w:rFonts w:ascii="Liberation Sans" w:hAnsi="Liberation Sans" w:eastAsia="Liberation Sans"/>
          <w:color w:val="2E2A2C"/>
          <w:sz w:val="20"/>
        </w:rPr>
        <w:t>Externe Anschlussquellen: UN-SDGs, UN-Indikatoren, CSRD/ESRS, EFRAG, GRI, Eurostat, Destatis, EU-Taxonomie, OECD-Leitlinien, soweit fachlich relevant.</w:t>
      </w:r>
    </w:p>
    <w:sectPr w:rsidR="00FC693F" w:rsidRPr="0006063C" w:rsidSect="00034616">
      <w:footerReference w:type="default" r:id="rId9"/>
      <w:pgSz w:w="12240" w:h="15840"/>
      <w:pgMar w:top="1037"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Liberation Sans" w:hAnsi="Liberation Sans" w:eastAsia="Liberation Sans"/>
        <w:color w:val="777777"/>
        <w:sz w:val="16"/>
      </w:rPr>
      <w:t>Wirkungsökonomie - Natalie Weber - öffentliche Arbeitsfassung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Liberation Sans" w:hAnsi="Liberation Sans" w:eastAsia="Liberation Sans"/>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Liberation Serif" w:hAnsi="Liberation Serif" w:eastAsia="Liberation Serif"/>
      <w:b/>
      <w:bCs/>
      <w:color w:val="0B1030"/>
      <w:sz w:val="4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Liberation Serif" w:hAnsi="Liberation Serif" w:eastAsia="Liberation Serif"/>
      <w:b/>
      <w:bCs/>
      <w:color w:val="0B1030"/>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Liberation Sans" w:hAnsi="Liberation Sans" w:eastAsia="Liberation Sans"/>
      <w:b/>
      <w:bCs/>
      <w:color w:val="2B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Liberation Serif" w:hAnsi="Liberation Serif" w:eastAsia="Liberation Serif"/>
      <w:b/>
      <w:color w:val="0B1030"/>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woek_wohnen_stadt_detailkonzepte_umfangreich_v0_2</dc:title>
  <dc:subject>Wirkungsökonomie</dc:subject>
  <dc:creator>Natalie Weber</dc:creator>
  <cp:keywords>Wirkungsökonomie, Natalie Weber, Wirkung statt Kapital, Mensch Planet Demokratie</cp:keywords>
  <dc:description>generated by python-docx</dc:description>
  <cp:lastModifiedBy/>
  <cp:revision>1</cp:revision>
  <dcterms:created xsi:type="dcterms:W3CDTF">2013-12-23T23:15:00Z</dcterms:created>
  <dcterms:modified xsi:type="dcterms:W3CDTF">2013-12-23T23:15:00Z</dcterms:modified>
  <cp:category/>
</cp:coreProperties>
</file>