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001832"/>
          <w:sz w:val="50"/>
        </w:rPr>
        <w:t>WIRKUNGSÖKONOMIE</w:t>
      </w:r>
    </w:p>
    <w:p>
      <w:pPr>
        <w:jc w:val="center"/>
      </w:pPr>
      <w:r>
        <w:rPr>
          <w:rFonts w:ascii="Arial" w:hAnsi="Arial"/>
          <w:b/>
          <w:color w:val="287D5C"/>
          <w:sz w:val="18"/>
        </w:rPr>
        <w:t>KONZEPTPAPIER</w:t>
      </w:r>
    </w:p>
    <w:p>
      <w:pPr>
        <w:jc w:val="center"/>
      </w:pPr>
      <w:r>
        <w:drawing>
          <wp:inline xmlns:a="http://schemas.openxmlformats.org/drawingml/2006/main" xmlns:pic="http://schemas.openxmlformats.org/drawingml/2006/picture">
            <wp:extent cx="1024128" cy="739648"/>
            <wp:docPr id="1" name="Picture 1"/>
            <wp:cNvGraphicFramePr>
              <a:graphicFrameLocks noChangeAspect="1"/>
            </wp:cNvGraphicFramePr>
            <a:graphic>
              <a:graphicData uri="http://schemas.openxmlformats.org/drawingml/2006/picture">
                <pic:pic>
                  <pic:nvPicPr>
                    <pic:cNvPr id="0" name="woek_brand_mark.png"/>
                    <pic:cNvPicPr/>
                  </pic:nvPicPr>
                  <pic:blipFill>
                    <a:blip r:embed="rId11"/>
                    <a:stretch>
                      <a:fillRect/>
                    </a:stretch>
                  </pic:blipFill>
                  <pic:spPr>
                    <a:xfrm>
                      <a:off x="0" y="0"/>
                      <a:ext cx="1024128" cy="739648"/>
                    </a:xfrm>
                    <a:prstGeom prst="rect"/>
                  </pic:spPr>
                </pic:pic>
              </a:graphicData>
            </a:graphic>
          </wp:inline>
        </w:drawing>
      </w:r>
    </w:p>
    <w:p>
      <w:pPr>
        <w:jc w:val="center"/>
      </w:pPr>
      <w:r>
        <w:rPr>
          <w:rFonts w:ascii="Georgia" w:hAnsi="Georgia"/>
          <w:b/>
          <w:color w:val="001832"/>
          <w:sz w:val="46"/>
        </w:rPr>
        <w:t>Wohnen &amp; Stadt</w:t>
      </w:r>
    </w:p>
    <w:p>
      <w:pPr>
        <w:jc w:val="center"/>
      </w:pPr>
      <w:r>
        <w:rPr>
          <w:rFonts w:ascii="Arial" w:hAnsi="Arial"/>
          <w:color w:val="252D3C"/>
          <w:sz w:val="23"/>
        </w:rPr>
        <w:t>Ein wirkungsökonomisches Konzept für bezahlbare, gesunde, nachhaltige und resiliente Lebensräume</w:t>
      </w:r>
    </w:p>
    <w:p>
      <w:pPr>
        <w:jc w:val="center"/>
      </w:pPr>
      <w:r>
        <w:rPr>
          <w:rFonts w:ascii="Arial" w:hAnsi="Arial"/>
          <w:color w:val="252D3C"/>
          <w:sz w:val="19"/>
        </w:rPr>
        <w:t>Autorin: Natalie Weber · Referenz: Wirkungsökonomie</w:t>
      </w:r>
    </w:p>
    <w:p>
      <w:pPr>
        <w:jc w:val="center"/>
      </w:pPr>
      <w:r>
        <w:rPr>
          <w:rFonts w:ascii="Arial" w:hAnsi="Arial"/>
          <w:color w:val="6F6F6F"/>
          <w:sz w:val="17"/>
        </w:rPr>
        <w:t>Version v0.1 · Stand: 24. Mai 2026 · Status: Arbeitsfassung / Diskussionsfassung</w:t>
      </w:r>
    </w:p>
    <w:p/>
    <w:tbl>
      <w:tblPr>
        <w:tblW w:type="auto" w:w="0"/>
        <w:jc w:val="center"/>
        <w:tblLook w:firstColumn="1" w:firstRow="1" w:lastColumn="0" w:lastRow="0" w:noHBand="0" w:noVBand="1" w:val="04A0"/>
      </w:tblPr>
      <w:tblGrid>
        <w:gridCol w:w="3360"/>
        <w:gridCol w:w="3360"/>
        <w:gridCol w:w="3360"/>
      </w:tblGrid>
      <w:tr>
        <w:tc>
          <w:tcPr>
            <w:tcW w:type="dxa" w:w="3360"/>
            <w:tcBorders>
              <w:top w:val="single" w:sz="8" w:space="0" w:color="D8D1C4"/>
              <w:left w:val="single" w:sz="8" w:space="0" w:color="D8D1C4"/>
              <w:bottom w:val="single" w:sz="8" w:space="0" w:color="D8D1C4"/>
              <w:right w:val="single" w:sz="8" w:space="0" w:color="D8D1C4"/>
            </w:tcBorders>
            <w:shd w:fill="F6F1E8"/>
          </w:tcPr>
          <w:p>
            <w:r>
              <w:rPr>
                <w:rFonts w:ascii="Arial" w:hAnsi="Arial"/>
                <w:b/>
                <w:color w:val="001832"/>
                <w:sz w:val="16"/>
              </w:rPr>
              <w:t>Wirkung statt Kapital</w:t>
              <w:br/>
            </w:r>
            <w:r>
              <w:rPr>
                <w:rFonts w:ascii="Arial" w:hAnsi="Arial"/>
                <w:color w:val="6F6F6F"/>
                <w:sz w:val="15"/>
              </w:rPr>
              <w:t>Wohnen als Lebens- und Vertrauensraum</w:t>
            </w:r>
          </w:p>
        </w:tc>
        <w:tc>
          <w:tcPr>
            <w:tcW w:type="dxa" w:w="3360"/>
            <w:tcBorders>
              <w:top w:val="single" w:sz="8" w:space="0" w:color="D8D1C4"/>
              <w:left w:val="single" w:sz="8" w:space="0" w:color="D8D1C4"/>
              <w:bottom w:val="single" w:sz="8" w:space="0" w:color="D8D1C4"/>
              <w:right w:val="single" w:sz="8" w:space="0" w:color="D8D1C4"/>
            </w:tcBorders>
            <w:shd w:fill="F6F1E8"/>
          </w:tcPr>
          <w:p>
            <w:r>
              <w:rPr>
                <w:rFonts w:ascii="Arial" w:hAnsi="Arial"/>
                <w:b/>
                <w:color w:val="001832"/>
                <w:sz w:val="16"/>
              </w:rPr>
              <w:t>Mensch · Planet · Demokratie</w:t>
              <w:br/>
            </w:r>
            <w:r>
              <w:rPr>
                <w:rFonts w:ascii="Arial" w:hAnsi="Arial"/>
                <w:color w:val="6F6F6F"/>
                <w:sz w:val="15"/>
              </w:rPr>
              <w:t>Bezahlbarkeit, Gesundheit, Klima, Teilhabe</w:t>
            </w:r>
          </w:p>
        </w:tc>
        <w:tc>
          <w:tcPr>
            <w:tcW w:type="dxa" w:w="3360"/>
            <w:tcBorders>
              <w:top w:val="single" w:sz="8" w:space="0" w:color="D8D1C4"/>
              <w:left w:val="single" w:sz="8" w:space="0" w:color="D8D1C4"/>
              <w:bottom w:val="single" w:sz="8" w:space="0" w:color="D8D1C4"/>
              <w:right w:val="single" w:sz="8" w:space="0" w:color="D8D1C4"/>
            </w:tcBorders>
            <w:shd w:fill="F6F1E8"/>
          </w:tcPr>
          <w:p>
            <w:r>
              <w:rPr>
                <w:rFonts w:ascii="Arial" w:hAnsi="Arial"/>
                <w:b/>
                <w:color w:val="001832"/>
                <w:sz w:val="16"/>
              </w:rPr>
              <w:t>Politische Anschlussfähigkeit</w:t>
              <w:br/>
            </w:r>
            <w:r>
              <w:rPr>
                <w:rFonts w:ascii="Arial" w:hAnsi="Arial"/>
                <w:color w:val="6F6F6F"/>
                <w:sz w:val="15"/>
              </w:rPr>
              <w:t>Rahmen setzen, Ausgestaltung ermöglichen</w:t>
            </w:r>
          </w:p>
        </w:tc>
      </w:tr>
    </w:tbl>
    <w:p>
      <w:r>
        <w:br w:type="page"/>
      </w:r>
    </w:p>
    <w:tbl>
      <w:tblPr>
        <w:tblW w:type="auto" w:w="0"/>
        <w:jc w:val="center"/>
        <w:tblLook w:firstColumn="1" w:firstRow="1" w:lastColumn="0" w:lastRow="0" w:noHBand="0" w:noVBand="1" w:val="04A0"/>
      </w:tblPr>
      <w:tblGrid>
        <w:gridCol w:w="5040"/>
        <w:gridCol w:w="5040"/>
      </w:tblGrid>
      <w:tr>
        <w:tc>
          <w:tcPr>
            <w:tcW w:type="dxa" w:w="5040"/>
            <w:tcBorders>
              <w:top w:val="single" w:sz="8" w:space="0" w:color="D8D1C4"/>
              <w:left w:val="single" w:sz="8" w:space="0" w:color="D8D1C4"/>
              <w:bottom w:val="single" w:sz="8" w:space="0" w:color="D8D1C4"/>
              <w:right w:val="single" w:sz="8" w:space="0" w:color="D8D1C4"/>
            </w:tcBorders>
            <w:shd w:fill="F6F1E8"/>
          </w:tcPr>
          <w:p>
            <w:r/>
            <w:r>
              <w:rPr>
                <w:rFonts w:ascii="Arial" w:hAnsi="Arial"/>
                <w:b/>
                <w:color w:val="252D3C"/>
                <w:sz w:val="16"/>
              </w:rPr>
              <w:t>Dokumenttyp</w:t>
            </w:r>
          </w:p>
        </w:tc>
        <w:tc>
          <w:tcPr>
            <w:tcW w:type="dxa" w:w="504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6"/>
              </w:rPr>
              <w:t>Konzeptpapier</w:t>
            </w:r>
          </w:p>
        </w:tc>
      </w:tr>
      <w:tr>
        <w:tc>
          <w:tcPr>
            <w:tcW w:type="dxa" w:w="5040"/>
            <w:tcBorders>
              <w:top w:val="single" w:sz="8" w:space="0" w:color="D8D1C4"/>
              <w:left w:val="single" w:sz="8" w:space="0" w:color="D8D1C4"/>
              <w:bottom w:val="single" w:sz="8" w:space="0" w:color="D8D1C4"/>
              <w:right w:val="single" w:sz="8" w:space="0" w:color="D8D1C4"/>
            </w:tcBorders>
            <w:shd w:fill="F6F1E8"/>
          </w:tcPr>
          <w:p>
            <w:r/>
            <w:r>
              <w:rPr>
                <w:rFonts w:ascii="Arial" w:hAnsi="Arial"/>
                <w:b/>
                <w:color w:val="252D3C"/>
                <w:sz w:val="16"/>
              </w:rPr>
              <w:t>Themenbereich</w:t>
            </w:r>
          </w:p>
        </w:tc>
        <w:tc>
          <w:tcPr>
            <w:tcW w:type="dxa" w:w="504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6"/>
              </w:rPr>
              <w:t>Wirkungsfeld Wohnen &amp; Stadt</w:t>
            </w:r>
          </w:p>
        </w:tc>
      </w:tr>
      <w:tr>
        <w:tc>
          <w:tcPr>
            <w:tcW w:type="dxa" w:w="5040"/>
            <w:tcBorders>
              <w:top w:val="single" w:sz="8" w:space="0" w:color="D8D1C4"/>
              <w:left w:val="single" w:sz="8" w:space="0" w:color="D8D1C4"/>
              <w:bottom w:val="single" w:sz="8" w:space="0" w:color="D8D1C4"/>
              <w:right w:val="single" w:sz="8" w:space="0" w:color="D8D1C4"/>
            </w:tcBorders>
            <w:shd w:fill="F6F1E8"/>
          </w:tcPr>
          <w:p>
            <w:r/>
            <w:r>
              <w:rPr>
                <w:rFonts w:ascii="Arial" w:hAnsi="Arial"/>
                <w:b/>
                <w:color w:val="252D3C"/>
                <w:sz w:val="16"/>
              </w:rPr>
              <w:t>Autorin</w:t>
            </w:r>
          </w:p>
        </w:tc>
        <w:tc>
          <w:tcPr>
            <w:tcW w:type="dxa" w:w="504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6"/>
              </w:rPr>
              <w:t>Natalie Weber</w:t>
            </w:r>
          </w:p>
        </w:tc>
      </w:tr>
      <w:tr>
        <w:tc>
          <w:tcPr>
            <w:tcW w:type="dxa" w:w="5040"/>
            <w:tcBorders>
              <w:top w:val="single" w:sz="8" w:space="0" w:color="D8D1C4"/>
              <w:left w:val="single" w:sz="8" w:space="0" w:color="D8D1C4"/>
              <w:bottom w:val="single" w:sz="8" w:space="0" w:color="D8D1C4"/>
              <w:right w:val="single" w:sz="8" w:space="0" w:color="D8D1C4"/>
            </w:tcBorders>
            <w:shd w:fill="F6F1E8"/>
          </w:tcPr>
          <w:p>
            <w:r/>
            <w:r>
              <w:rPr>
                <w:rFonts w:ascii="Arial" w:hAnsi="Arial"/>
                <w:b/>
                <w:color w:val="252D3C"/>
                <w:sz w:val="16"/>
              </w:rPr>
              <w:t>Referenz</w:t>
            </w:r>
          </w:p>
        </w:tc>
        <w:tc>
          <w:tcPr>
            <w:tcW w:type="dxa" w:w="504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6"/>
              </w:rPr>
              <w:t>Wirkungsökonomie</w:t>
            </w:r>
          </w:p>
        </w:tc>
      </w:tr>
      <w:tr>
        <w:tc>
          <w:tcPr>
            <w:tcW w:type="dxa" w:w="5040"/>
            <w:tcBorders>
              <w:top w:val="single" w:sz="8" w:space="0" w:color="D8D1C4"/>
              <w:left w:val="single" w:sz="8" w:space="0" w:color="D8D1C4"/>
              <w:bottom w:val="single" w:sz="8" w:space="0" w:color="D8D1C4"/>
              <w:right w:val="single" w:sz="8" w:space="0" w:color="D8D1C4"/>
            </w:tcBorders>
            <w:shd w:fill="F6F1E8"/>
          </w:tcPr>
          <w:p>
            <w:r/>
            <w:r>
              <w:rPr>
                <w:rFonts w:ascii="Arial" w:hAnsi="Arial"/>
                <w:b/>
                <w:color w:val="252D3C"/>
                <w:sz w:val="16"/>
              </w:rPr>
              <w:t>Version</w:t>
            </w:r>
          </w:p>
        </w:tc>
        <w:tc>
          <w:tcPr>
            <w:tcW w:type="dxa" w:w="504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6"/>
              </w:rPr>
              <w:t>v0.1</w:t>
            </w:r>
          </w:p>
        </w:tc>
      </w:tr>
      <w:tr>
        <w:tc>
          <w:tcPr>
            <w:tcW w:type="dxa" w:w="5040"/>
            <w:tcBorders>
              <w:top w:val="single" w:sz="8" w:space="0" w:color="D8D1C4"/>
              <w:left w:val="single" w:sz="8" w:space="0" w:color="D8D1C4"/>
              <w:bottom w:val="single" w:sz="8" w:space="0" w:color="D8D1C4"/>
              <w:right w:val="single" w:sz="8" w:space="0" w:color="D8D1C4"/>
            </w:tcBorders>
            <w:shd w:fill="F6F1E8"/>
          </w:tcPr>
          <w:p>
            <w:r/>
            <w:r>
              <w:rPr>
                <w:rFonts w:ascii="Arial" w:hAnsi="Arial"/>
                <w:b/>
                <w:color w:val="252D3C"/>
                <w:sz w:val="16"/>
              </w:rPr>
              <w:t>Stand</w:t>
            </w:r>
          </w:p>
        </w:tc>
        <w:tc>
          <w:tcPr>
            <w:tcW w:type="dxa" w:w="504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6"/>
              </w:rPr>
              <w:t>24. Mai 2026</w:t>
            </w:r>
          </w:p>
        </w:tc>
      </w:tr>
      <w:tr>
        <w:tc>
          <w:tcPr>
            <w:tcW w:type="dxa" w:w="5040"/>
            <w:tcBorders>
              <w:top w:val="single" w:sz="8" w:space="0" w:color="D8D1C4"/>
              <w:left w:val="single" w:sz="8" w:space="0" w:color="D8D1C4"/>
              <w:bottom w:val="single" w:sz="8" w:space="0" w:color="D8D1C4"/>
              <w:right w:val="single" w:sz="8" w:space="0" w:color="D8D1C4"/>
            </w:tcBorders>
            <w:shd w:fill="F6F1E8"/>
          </w:tcPr>
          <w:p>
            <w:r/>
            <w:r>
              <w:rPr>
                <w:rFonts w:ascii="Arial" w:hAnsi="Arial"/>
                <w:b/>
                <w:color w:val="252D3C"/>
                <w:sz w:val="16"/>
              </w:rPr>
              <w:t>Status</w:t>
            </w:r>
          </w:p>
        </w:tc>
        <w:tc>
          <w:tcPr>
            <w:tcW w:type="dxa" w:w="504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6"/>
              </w:rPr>
              <w:t>Arbeitsfassung / Diskussionsfassung</w:t>
            </w:r>
          </w:p>
        </w:tc>
      </w:tr>
      <w:tr>
        <w:tc>
          <w:tcPr>
            <w:tcW w:type="dxa" w:w="5040"/>
            <w:tcBorders>
              <w:top w:val="single" w:sz="8" w:space="0" w:color="D8D1C4"/>
              <w:left w:val="single" w:sz="8" w:space="0" w:color="D8D1C4"/>
              <w:bottom w:val="single" w:sz="8" w:space="0" w:color="D8D1C4"/>
              <w:right w:val="single" w:sz="8" w:space="0" w:color="D8D1C4"/>
            </w:tcBorders>
            <w:shd w:fill="F6F1E8"/>
          </w:tcPr>
          <w:p>
            <w:r/>
            <w:r>
              <w:rPr>
                <w:rFonts w:ascii="Arial" w:hAnsi="Arial"/>
                <w:b/>
                <w:color w:val="252D3C"/>
                <w:sz w:val="16"/>
              </w:rPr>
              <w:t>Hinweis</w:t>
            </w:r>
          </w:p>
        </w:tc>
        <w:tc>
          <w:tcPr>
            <w:tcW w:type="dxa" w:w="504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6"/>
              </w:rPr>
              <w:t>Arbeitsfassung für Konzept-, Website- und Dossierarchitektur; keine Rechts-, Steuer- oder Förderberatung.</w:t>
            </w:r>
          </w:p>
        </w:tc>
      </w:tr>
    </w:tbl>
    <w:p/>
    <w:p>
      <w:pPr>
        <w:pStyle w:val="Heading1"/>
      </w:pPr>
      <w:r>
        <w:t>Executive Summary</w:t>
      </w:r>
    </w:p>
    <w:p>
      <w:pPr>
        <w:spacing w:after="100"/>
      </w:pPr>
      <w:r>
        <w:rPr>
          <w:rFonts w:ascii="Arial" w:hAnsi="Arial"/>
          <w:b w:val="0"/>
          <w:color w:val="252D3C"/>
          <w:sz w:val="19"/>
        </w:rPr>
        <w:t>Wohnen ist wirkungsökonomisch nicht nur Markt, Immobilie oder Renditeobjekt. Wohnen ist die räumliche Grundlage von Sicherheit, Gesundheit, Zugehörigkeit, Teilhabe und demokratischem Vertrauen. Ein Wohnungsmarkt, der nur nach Kapital, Bodenwert und Rendite gesteuert wird, kann diese Wirkung nicht zuverlässig erzeugen.</w:t>
      </w:r>
    </w:p>
    <w:p>
      <w:pPr>
        <w:spacing w:after="100"/>
      </w:pPr>
      <w:r>
        <w:rPr>
          <w:rFonts w:ascii="Arial" w:hAnsi="Arial"/>
          <w:b w:val="0"/>
          <w:color w:val="252D3C"/>
          <w:sz w:val="19"/>
        </w:rPr>
        <w:t>Das Konzept „Wohnen &amp; Stadt“ übersetzt die Wirkungsökonomie in ein Portal- und Steuerungsmodell: Wohnraum wird nach seiner positiven Netto-Wirkung für Mensch, Planet und Demokratie betrachtet. Entscheidend sind Bezahlbarkeit, Warmmiete, Energieverbrauch, Sanierungswirkung, Barrierefreiheit, Verdrängungsrisiko, Quartiersqualität, Eigentumsverantwortung, Bodenpolitik und kommunale Resilienz.</w:t>
      </w:r>
    </w:p>
    <w:tbl>
      <w:tblPr>
        <w:tblW w:type="auto" w:w="0"/>
        <w:jc w:val="center"/>
        <w:tblLook w:firstColumn="1" w:firstRow="1" w:lastColumn="0" w:lastRow="0" w:noHBand="0" w:noVBand="1" w:val="04A0"/>
      </w:tblPr>
      <w:tblGrid>
        <w:gridCol w:w="10080"/>
      </w:tblGrid>
      <w:tr>
        <w:tc>
          <w:tcPr>
            <w:tcW w:type="dxa" w:w="10080"/>
            <w:tcBorders>
              <w:top w:val="single" w:sz="12" w:space="0" w:color="287D5C"/>
              <w:left w:val="single" w:sz="12" w:space="0" w:color="287D5C"/>
              <w:bottom w:val="single" w:sz="12" w:space="0" w:color="287D5C"/>
              <w:right w:val="single" w:sz="12" w:space="0" w:color="287D5C"/>
            </w:tcBorders>
            <w:shd w:fill="F6F1E8"/>
          </w:tcPr>
          <w:p>
            <w:r>
              <w:rPr>
                <w:rFonts w:ascii="Arial" w:hAnsi="Arial"/>
                <w:b/>
                <w:color w:val="287D5C"/>
                <w:sz w:val="18"/>
              </w:rPr>
              <w:t>Leitthese</w:t>
              <w:br/>
            </w:r>
            <w:r>
              <w:rPr>
                <w:rFonts w:ascii="Arial" w:hAnsi="Arial"/>
                <w:color w:val="252D3C"/>
                <w:sz w:val="18"/>
              </w:rPr>
              <w:t>Der Wohnungsmarkt ist kein reines Mengenproblem. Mehr Wohnungen lösen wenig, wenn Mieten, Energie, Gesundheit, Quartier, Eigentumslogik und Bodenwirkung weiter falsch ausgerichtet bleiben.</w:t>
            </w:r>
          </w:p>
        </w:tc>
      </w:tr>
    </w:tbl>
    <w:p/>
    <w:p>
      <w:pPr>
        <w:pStyle w:val="Heading1"/>
      </w:pPr>
      <w:r>
        <w:t>1. Warum Wohnen ein Wirkungsfeld ist</w:t>
      </w:r>
    </w:p>
    <w:p>
      <w:pPr>
        <w:spacing w:after="40"/>
        <w:ind w:left="317" w:hanging="202"/>
      </w:pPr>
      <w:r>
        <w:rPr>
          <w:rFonts w:ascii="Arial" w:hAnsi="Arial"/>
          <w:b/>
          <w:color w:val="287D5C"/>
        </w:rPr>
        <w:t xml:space="preserve">• </w:t>
      </w:r>
      <w:r>
        <w:rPr>
          <w:rFonts w:ascii="Arial" w:hAnsi="Arial"/>
          <w:color w:val="252D3C"/>
          <w:sz w:val="18"/>
        </w:rPr>
        <w:t>Mensch: Wohnen beeinflusst Sicherheit, Stress, Gesundheit, Familienleben, Pflegefähigkeit, Lernbedingungen und Selbstwirksamkeit.</w:t>
      </w:r>
    </w:p>
    <w:p>
      <w:pPr>
        <w:spacing w:after="40"/>
        <w:ind w:left="317" w:hanging="202"/>
      </w:pPr>
      <w:r>
        <w:rPr>
          <w:rFonts w:ascii="Arial" w:hAnsi="Arial"/>
          <w:b/>
          <w:color w:val="287D5C"/>
        </w:rPr>
        <w:t xml:space="preserve">• </w:t>
      </w:r>
      <w:r>
        <w:rPr>
          <w:rFonts w:ascii="Arial" w:hAnsi="Arial"/>
          <w:color w:val="252D3C"/>
          <w:sz w:val="18"/>
        </w:rPr>
        <w:t>Planet: Gebäude prägen Energiebedarf, Emissionen, Flächenverbrauch, Materialien, Wasser, Hitze, Biodiversität und Kreislauffähigkeit.</w:t>
      </w:r>
    </w:p>
    <w:p>
      <w:pPr>
        <w:spacing w:after="40"/>
        <w:ind w:left="317" w:hanging="202"/>
      </w:pPr>
      <w:r>
        <w:rPr>
          <w:rFonts w:ascii="Arial" w:hAnsi="Arial"/>
          <w:b/>
          <w:color w:val="287D5C"/>
        </w:rPr>
        <w:t xml:space="preserve">• </w:t>
      </w:r>
      <w:r>
        <w:rPr>
          <w:rFonts w:ascii="Arial" w:hAnsi="Arial"/>
          <w:color w:val="252D3C"/>
          <w:sz w:val="18"/>
        </w:rPr>
        <w:t>Demokratie: Bezahlbarkeit, Verdrängung, Nachbarschaft, Teilhabe und Vertrauen in staatliche Handlungsfähigkeit wirken auf gesellschaftliche Stabilität.</w:t>
      </w:r>
    </w:p>
    <w:p>
      <w:pPr>
        <w:pStyle w:val="Heading1"/>
      </w:pPr>
      <w:r>
        <w:t>2. Alte Logik: Wohnraum als Kapitalanlage</w:t>
      </w:r>
    </w:p>
    <w:p>
      <w:pPr>
        <w:spacing w:after="100"/>
      </w:pPr>
      <w:r>
        <w:rPr>
          <w:rFonts w:ascii="Arial" w:hAnsi="Arial"/>
          <w:b w:val="0"/>
          <w:color w:val="252D3C"/>
          <w:sz w:val="19"/>
        </w:rPr>
        <w:t>Die alte Logik behandelt Wohnraum primär als handelbares Gut. Wert entsteht durch Lage, Knappheit, Rendite, Bodenpreis, Mieterhöhungspotenzial und Finanzierungslogik. Wirkung bleibt dagegen nachrangig: ob Menschen sich ihr Zuhause leisten können, ob Gebäude gesund sind, ob Sanierungen warmmietenneutral gelingen oder ob Quartiere stabil bleiben.</w:t>
      </w:r>
    </w:p>
    <w:p>
      <w:pPr>
        <w:pStyle w:val="Heading1"/>
      </w:pPr>
      <w:r>
        <w:t>3. Wirkungsökonomischer Perspektivwechsel</w:t>
      </w:r>
    </w:p>
    <w:p>
      <w:pPr>
        <w:spacing w:after="100"/>
      </w:pPr>
      <w:r>
        <w:rPr>
          <w:rFonts w:ascii="Arial" w:hAnsi="Arial"/>
          <w:b w:val="0"/>
          <w:color w:val="252D3C"/>
          <w:sz w:val="19"/>
        </w:rPr>
        <w:t>Die neue Logik fragt nicht zuerst: „Wie viel Rendite bringt eine Wohnung?“ Sie fragt: „Welche Wirkung entfaltet dieser Wohnraum für Mensch, Planet und Demokratie?“ Daraus entsteht ein Steuerungsmodell, das Kapital nicht verbietet, sondern an Wirkung rückkoppelt.</w:t>
      </w:r>
    </w:p>
    <w:tbl>
      <w:tblPr>
        <w:tblW w:type="auto" w:w="0"/>
        <w:jc w:val="center"/>
        <w:tblLook w:firstColumn="1" w:firstRow="1" w:lastColumn="0" w:lastRow="0" w:noHBand="0" w:noVBand="1" w:val="04A0"/>
      </w:tblPr>
      <w:tblGrid>
        <w:gridCol w:w="3360"/>
        <w:gridCol w:w="3360"/>
        <w:gridCol w:w="3360"/>
      </w:tblGrid>
      <w:tr>
        <w:tc>
          <w:tcPr>
            <w:tcW w:type="dxa" w:w="3360"/>
            <w:shd w:fill="001832"/>
            <w:tcBorders>
              <w:top w:val="single" w:sz="8" w:space="0" w:color="001832"/>
              <w:left w:val="single" w:sz="8" w:space="0" w:color="001832"/>
              <w:bottom w:val="single" w:sz="8" w:space="0" w:color="001832"/>
              <w:right w:val="single" w:sz="8" w:space="0" w:color="001832"/>
            </w:tcBorders>
          </w:tcPr>
          <w:p>
            <w:r/>
            <w:r>
              <w:rPr>
                <w:rFonts w:ascii="Arial" w:hAnsi="Arial"/>
                <w:b/>
                <w:color w:val="FFFFFF"/>
                <w:sz w:val="15"/>
              </w:rPr>
              <w:t>Dimension</w:t>
            </w:r>
          </w:p>
        </w:tc>
        <w:tc>
          <w:tcPr>
            <w:tcW w:type="dxa" w:w="3360"/>
            <w:shd w:fill="001832"/>
            <w:tcBorders>
              <w:top w:val="single" w:sz="8" w:space="0" w:color="001832"/>
              <w:left w:val="single" w:sz="8" w:space="0" w:color="001832"/>
              <w:bottom w:val="single" w:sz="8" w:space="0" w:color="001832"/>
              <w:right w:val="single" w:sz="8" w:space="0" w:color="001832"/>
            </w:tcBorders>
          </w:tcPr>
          <w:p>
            <w:r/>
            <w:r>
              <w:rPr>
                <w:rFonts w:ascii="Arial" w:hAnsi="Arial"/>
                <w:b/>
                <w:color w:val="FFFFFF"/>
                <w:sz w:val="15"/>
              </w:rPr>
              <w:t>Leitfrage</w:t>
            </w:r>
          </w:p>
        </w:tc>
        <w:tc>
          <w:tcPr>
            <w:tcW w:type="dxa" w:w="3360"/>
            <w:shd w:fill="001832"/>
            <w:tcBorders>
              <w:top w:val="single" w:sz="8" w:space="0" w:color="001832"/>
              <w:left w:val="single" w:sz="8" w:space="0" w:color="001832"/>
              <w:bottom w:val="single" w:sz="8" w:space="0" w:color="001832"/>
              <w:right w:val="single" w:sz="8" w:space="0" w:color="001832"/>
            </w:tcBorders>
          </w:tcPr>
          <w:p>
            <w:r/>
            <w:r>
              <w:rPr>
                <w:rFonts w:ascii="Arial" w:hAnsi="Arial"/>
                <w:b/>
                <w:color w:val="FFFFFF"/>
                <w:sz w:val="15"/>
              </w:rPr>
              <w:t>Beispielindikatoren</w:t>
            </w:r>
          </w:p>
        </w:tc>
      </w:tr>
      <w:tr>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Bezahlbarkeit</w:t>
            </w:r>
          </w:p>
        </w:tc>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Kann der Haushalt wohnen, ohne Existenzdruck?</w:t>
            </w:r>
          </w:p>
        </w:tc>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Miet-/Wohnkostenbelastung, Nebenkosten, Verdrängungsrisiko</w:t>
            </w:r>
          </w:p>
        </w:tc>
      </w:tr>
      <w:tr>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Klima &amp; Energie</w:t>
            </w:r>
          </w:p>
        </w:tc>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Sinken Energieverbrauch und Emissionen real?</w:t>
            </w:r>
          </w:p>
        </w:tc>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Endenergie kWh/m²a, CO₂e, erneuerbare Wärme, Sanierungsrate</w:t>
            </w:r>
          </w:p>
        </w:tc>
      </w:tr>
      <w:tr>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Gesundheit</w:t>
            </w:r>
          </w:p>
        </w:tc>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Macht der Wohnraum gesund oder krank?</w:t>
            </w:r>
          </w:p>
        </w:tc>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Luftqualität, Schimmel, Lärm, Hitze, Barrierefreiheit</w:t>
            </w:r>
          </w:p>
        </w:tc>
      </w:tr>
      <w:tr>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Quartier</w:t>
            </w:r>
          </w:p>
        </w:tc>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Stärkt das Umfeld Teilhabe und Resilienz?</w:t>
            </w:r>
          </w:p>
        </w:tc>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Grün, Mobilität, Versorgung, soziale Mischung, Sicherheit</w:t>
            </w:r>
          </w:p>
        </w:tc>
      </w:tr>
      <w:tr>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Demokratie</w:t>
            </w:r>
          </w:p>
        </w:tc>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Stärkt Wohnen Vertrauen und Zugehörigkeit?</w:t>
            </w:r>
          </w:p>
        </w:tc>
        <w:tc>
          <w:tcPr>
            <w:tcW w:type="dxa" w:w="3360"/>
            <w:tcBorders>
              <w:top w:val="single" w:sz="8" w:space="0" w:color="D8D1C4"/>
              <w:left w:val="single" w:sz="8" w:space="0" w:color="D8D1C4"/>
              <w:bottom w:val="single" w:sz="8" w:space="0" w:color="D8D1C4"/>
              <w:right w:val="single" w:sz="8" w:space="0" w:color="D8D1C4"/>
            </w:tcBorders>
          </w:tcPr>
          <w:p>
            <w:r/>
            <w:r>
              <w:rPr>
                <w:rFonts w:ascii="Arial" w:hAnsi="Arial"/>
                <w:b w:val="0"/>
                <w:color w:val="252D3C"/>
                <w:sz w:val="15"/>
              </w:rPr>
              <w:t>Transparenz, Beteiligung, Verdrängungsschutz, Gemeinwesen</w:t>
            </w:r>
          </w:p>
        </w:tc>
      </w:tr>
    </w:tbl>
    <w:p/>
    <w:p>
      <w:pPr>
        <w:pStyle w:val="Heading1"/>
      </w:pPr>
      <w:r>
        <w:t>4. Zentrale Instrumente</w:t>
      </w:r>
    </w:p>
    <w:p>
      <w:pPr>
        <w:spacing w:after="40"/>
        <w:ind w:left="317" w:hanging="202"/>
      </w:pPr>
      <w:r>
        <w:rPr>
          <w:rFonts w:ascii="Arial" w:hAnsi="Arial"/>
          <w:b/>
          <w:color w:val="287D5C"/>
        </w:rPr>
        <w:t xml:space="preserve">• </w:t>
      </w:r>
      <w:r>
        <w:rPr>
          <w:rFonts w:ascii="Arial" w:hAnsi="Arial"/>
          <w:color w:val="252D3C"/>
          <w:sz w:val="18"/>
        </w:rPr>
        <w:t>Wohnwirkungsindex WIX-Wohn: verbindet Energie/Klima, Mietfairness und Sozial-/Quartierswirkung zu einer steuerungsfähigen Kennzahl.</w:t>
      </w:r>
    </w:p>
    <w:p>
      <w:pPr>
        <w:spacing w:after="40"/>
        <w:ind w:left="317" w:hanging="202"/>
      </w:pPr>
      <w:r>
        <w:rPr>
          <w:rFonts w:ascii="Arial" w:hAnsi="Arial"/>
          <w:b/>
          <w:color w:val="287D5C"/>
        </w:rPr>
        <w:t xml:space="preserve">• </w:t>
      </w:r>
      <w:r>
        <w:rPr>
          <w:rFonts w:ascii="Arial" w:hAnsi="Arial"/>
          <w:color w:val="252D3C"/>
          <w:sz w:val="18"/>
        </w:rPr>
        <w:t>Sozialraumprofil SRP: macht Quartierswirkung sichtbar – Miete, Mobilität, Grün, Hitze, Versorgung, Gesundheit, Teilhabe und digitale Infrastruktur.</w:t>
      </w:r>
    </w:p>
    <w:p>
      <w:pPr>
        <w:spacing w:after="40"/>
        <w:ind w:left="317" w:hanging="202"/>
      </w:pPr>
      <w:r>
        <w:rPr>
          <w:rFonts w:ascii="Arial" w:hAnsi="Arial"/>
          <w:b/>
          <w:color w:val="287D5C"/>
        </w:rPr>
        <w:t xml:space="preserve">• </w:t>
      </w:r>
      <w:r>
        <w:rPr>
          <w:rFonts w:ascii="Arial" w:hAnsi="Arial"/>
          <w:color w:val="252D3C"/>
          <w:sz w:val="18"/>
        </w:rPr>
        <w:t>Warmmietenneutralitätsprüfung: prüft, ob Sanierung ökologische Wirkung erzeugt, ohne Wohnkostenkrisen zu verschärfen.</w:t>
      </w:r>
    </w:p>
    <w:p>
      <w:pPr>
        <w:spacing w:after="40"/>
        <w:ind w:left="317" w:hanging="202"/>
      </w:pPr>
      <w:r>
        <w:rPr>
          <w:rFonts w:ascii="Arial" w:hAnsi="Arial"/>
          <w:b/>
          <w:color w:val="287D5C"/>
        </w:rPr>
        <w:t xml:space="preserve">• </w:t>
      </w:r>
      <w:r>
        <w:rPr>
          <w:rFonts w:ascii="Arial" w:hAnsi="Arial"/>
          <w:color w:val="252D3C"/>
          <w:sz w:val="18"/>
        </w:rPr>
        <w:t>Wirkungsförderlogik: Fördermittel fließen nicht nur nach Bauvolumen, sondern nach nachgewiesener positiver Netto-Wirkung.</w:t>
      </w:r>
    </w:p>
    <w:p>
      <w:pPr>
        <w:spacing w:after="40"/>
        <w:ind w:left="317" w:hanging="202"/>
      </w:pPr>
      <w:r>
        <w:rPr>
          <w:rFonts w:ascii="Arial" w:hAnsi="Arial"/>
          <w:b/>
          <w:color w:val="287D5C"/>
        </w:rPr>
        <w:t xml:space="preserve">• </w:t>
      </w:r>
      <w:r>
        <w:rPr>
          <w:rFonts w:ascii="Arial" w:hAnsi="Arial"/>
          <w:color w:val="252D3C"/>
          <w:sz w:val="18"/>
        </w:rPr>
        <w:t>Wohnwirkungsrechner: modellhafte Demo für Miete, Energie, Sanierung, Quartier, WIX-Wohn und politische Szenarien.</w:t>
      </w:r>
    </w:p>
    <w:p>
      <w:pPr>
        <w:pStyle w:val="Heading1"/>
      </w:pPr>
      <w:r>
        <w:t>5. Politische Rahmenlogik</w:t>
      </w:r>
    </w:p>
    <w:p>
      <w:pPr>
        <w:pStyle w:val="Heading2"/>
      </w:pPr>
      <w:r>
        <w:t>Politische Anschlussfähigkeit und Ausgestaltungsspielraum</w:t>
      </w:r>
    </w:p>
    <w:tbl>
      <w:tblPr>
        <w:tblW w:type="auto" w:w="0"/>
        <w:jc w:val="center"/>
        <w:tblLook w:firstColumn="1" w:firstRow="1" w:lastColumn="0" w:lastRow="0" w:noHBand="0" w:noVBand="1" w:val="04A0"/>
      </w:tblPr>
      <w:tblGrid>
        <w:gridCol w:w="10080"/>
      </w:tblGrid>
      <w:tr>
        <w:tc>
          <w:tcPr>
            <w:tcW w:type="dxa" w:w="10080"/>
            <w:tcBorders>
              <w:top w:val="single" w:sz="12" w:space="0" w:color="C89B3C"/>
              <w:left w:val="single" w:sz="12" w:space="0" w:color="C89B3C"/>
              <w:bottom w:val="single" w:sz="12" w:space="0" w:color="C89B3C"/>
              <w:right w:val="single" w:sz="12" w:space="0" w:color="C89B3C"/>
            </w:tcBorders>
            <w:shd w:fill="F6F1E8"/>
          </w:tcPr>
          <w:p>
            <w:r>
              <w:rPr>
                <w:rFonts w:ascii="Arial" w:hAnsi="Arial"/>
                <w:b/>
                <w:color w:val="C89B3C"/>
                <w:sz w:val="18"/>
              </w:rPr>
              <w:t>Kernprinzip</w:t>
              <w:br/>
            </w:r>
            <w:r>
              <w:rPr>
                <w:rFonts w:ascii="Arial" w:hAnsi="Arial"/>
                <w:color w:val="252D3C"/>
                <w:sz w:val="18"/>
              </w:rPr>
              <w:t>Die Wirkungsökonomie ersetzt politischen Diskurs nicht. Sie macht Wirkungen, Zielkonflikte, Verteilungsfragen und Risiken sichtbar, damit demokratische Parteien unterschiedliche Ausgestaltungen begründen und vergleichen können.</w:t>
            </w:r>
          </w:p>
        </w:tc>
      </w:tr>
    </w:tbl>
    <w:p/>
    <w:p>
      <w:pPr>
        <w:spacing w:after="40"/>
        <w:ind w:left="317" w:hanging="202"/>
      </w:pPr>
      <w:r>
        <w:rPr>
          <w:rFonts w:ascii="Arial" w:hAnsi="Arial"/>
          <w:b/>
          <w:color w:val="287D5C"/>
        </w:rPr>
        <w:t xml:space="preserve">• </w:t>
      </w:r>
      <w:r>
        <w:rPr>
          <w:rFonts w:ascii="Arial" w:hAnsi="Arial"/>
          <w:color w:val="252D3C"/>
          <w:sz w:val="18"/>
        </w:rPr>
        <w:t>Aufgabe der Politik ist die Festlegung von Zielkorridoren, Schutzgrenzen, Übergangsfristen, sozialer Abfederung, Zuständigkeiten und Prüfverfahren.</w:t>
      </w:r>
    </w:p>
    <w:p>
      <w:pPr>
        <w:spacing w:after="40"/>
        <w:ind w:left="317" w:hanging="202"/>
      </w:pPr>
      <w:r>
        <w:rPr>
          <w:rFonts w:ascii="Arial" w:hAnsi="Arial"/>
          <w:b/>
          <w:color w:val="287D5C"/>
        </w:rPr>
        <w:t xml:space="preserve">• </w:t>
      </w:r>
      <w:r>
        <w:rPr>
          <w:rFonts w:ascii="Arial" w:hAnsi="Arial"/>
          <w:color w:val="252D3C"/>
          <w:sz w:val="18"/>
        </w:rPr>
        <w:t>Parteien können unterschiedliche Schwerpunkte setzen: mehr Marktanreize, stärkere öffentliche Förderung, kommunale Wohnungswirtschaft, Eigentumsförderung, Mieterschutz, Neubau, Bestandssanierung oder Bodenpolitik.</w:t>
      </w:r>
    </w:p>
    <w:p>
      <w:pPr>
        <w:spacing w:after="40"/>
        <w:ind w:left="317" w:hanging="202"/>
      </w:pPr>
      <w:r>
        <w:rPr>
          <w:rFonts w:ascii="Arial" w:hAnsi="Arial"/>
          <w:b/>
          <w:color w:val="287D5C"/>
        </w:rPr>
        <w:t xml:space="preserve">• </w:t>
      </w:r>
      <w:r>
        <w:rPr>
          <w:rFonts w:ascii="Arial" w:hAnsi="Arial"/>
          <w:color w:val="252D3C"/>
          <w:sz w:val="18"/>
        </w:rPr>
        <w:t>Der verbindende Rahmen ist nicht ein einziges „wahres“ Modell, sondern Transparenz über Wirkungen auf Bezahlbarkeit, Gesundheit, Klima, Teilhabe, Eigentumsfreiheit, Investitionsfähigkeit und demokratisches Vertrauen.</w:t>
      </w:r>
    </w:p>
    <w:p>
      <w:pPr>
        <w:spacing w:after="40"/>
        <w:ind w:left="317" w:hanging="202"/>
      </w:pPr>
      <w:r>
        <w:rPr>
          <w:rFonts w:ascii="Arial" w:hAnsi="Arial"/>
          <w:b/>
          <w:color w:val="287D5C"/>
        </w:rPr>
        <w:t xml:space="preserve">• </w:t>
      </w:r>
      <w:r>
        <w:rPr>
          <w:rFonts w:ascii="Arial" w:hAnsi="Arial"/>
          <w:color w:val="252D3C"/>
          <w:sz w:val="18"/>
        </w:rPr>
        <w:t>Politische Umsetzung braucht Piloträume, Evaluation, Rechts- und Datenschutzprüfung, Beteiligung von Mieter:innen, Eigentümer:innen, Kommunen, Bauwirtschaft und Zivilgesellschaft.</w:t>
      </w:r>
    </w:p>
    <w:p>
      <w:pPr>
        <w:spacing w:after="40"/>
        <w:ind w:left="317" w:hanging="202"/>
      </w:pPr>
      <w:r>
        <w:rPr>
          <w:rFonts w:ascii="Arial" w:hAnsi="Arial"/>
          <w:b/>
          <w:color w:val="287D5C"/>
        </w:rPr>
        <w:t xml:space="preserve">• </w:t>
      </w:r>
      <w:r>
        <w:rPr>
          <w:rFonts w:ascii="Arial" w:hAnsi="Arial"/>
          <w:color w:val="252D3C"/>
          <w:sz w:val="18"/>
        </w:rPr>
        <w:t>Jede Seite im Portal muss deshalb nicht nur ein Konzept erklären, sondern auch politische Aufgaben, Entscheidungsoptionen, Zielkonflikte und demokratische Gestaltungsspielräume sichtbar machen.</w:t>
      </w:r>
    </w:p>
    <w:p>
      <w:pPr>
        <w:pStyle w:val="Heading1"/>
      </w:pPr>
      <w:r>
        <w:t>6. Online- und Dossierarchitektur</w:t>
      </w:r>
    </w:p>
    <w:p>
      <w:pPr>
        <w:spacing w:after="40"/>
        <w:ind w:left="317" w:hanging="202"/>
      </w:pPr>
      <w:r>
        <w:rPr>
          <w:rFonts w:ascii="Arial" w:hAnsi="Arial"/>
          <w:b/>
          <w:color w:val="287D5C"/>
        </w:rPr>
        <w:t xml:space="preserve">• </w:t>
      </w:r>
      <w:r>
        <w:rPr>
          <w:rFonts w:ascii="Arial" w:hAnsi="Arial"/>
          <w:color w:val="252D3C"/>
          <w:sz w:val="18"/>
        </w:rPr>
        <w:t>Portalstartseite: /wirkungsfelder/wohnen-stadt/</w:t>
      </w:r>
    </w:p>
    <w:p>
      <w:pPr>
        <w:spacing w:after="40"/>
        <w:ind w:left="317" w:hanging="202"/>
      </w:pPr>
      <w:r>
        <w:rPr>
          <w:rFonts w:ascii="Arial" w:hAnsi="Arial"/>
          <w:b/>
          <w:color w:val="287D5C"/>
        </w:rPr>
        <w:t xml:space="preserve">• </w:t>
      </w:r>
      <w:r>
        <w:rPr>
          <w:rFonts w:ascii="Arial" w:hAnsi="Arial"/>
          <w:color w:val="252D3C"/>
          <w:sz w:val="18"/>
        </w:rPr>
        <w:t>Konzeptpapier online: /wirkungsfelder/wohnen-stadt/konzept/</w:t>
      </w:r>
    </w:p>
    <w:p>
      <w:pPr>
        <w:spacing w:after="40"/>
        <w:ind w:left="317" w:hanging="202"/>
      </w:pPr>
      <w:r>
        <w:rPr>
          <w:rFonts w:ascii="Arial" w:hAnsi="Arial"/>
          <w:b/>
          <w:color w:val="287D5C"/>
        </w:rPr>
        <w:t xml:space="preserve">• </w:t>
      </w:r>
      <w:r>
        <w:rPr>
          <w:rFonts w:ascii="Arial" w:hAnsi="Arial"/>
          <w:color w:val="252D3C"/>
          <w:sz w:val="18"/>
        </w:rPr>
        <w:t>Gesamtdossier online: /wirkungsfelder/wohnen-stadt/dossier/</w:t>
      </w:r>
    </w:p>
    <w:p>
      <w:pPr>
        <w:spacing w:after="40"/>
        <w:ind w:left="317" w:hanging="202"/>
      </w:pPr>
      <w:r>
        <w:rPr>
          <w:rFonts w:ascii="Arial" w:hAnsi="Arial"/>
          <w:b/>
          <w:color w:val="287D5C"/>
        </w:rPr>
        <w:t xml:space="preserve">• </w:t>
      </w:r>
      <w:r>
        <w:rPr>
          <w:rFonts w:ascii="Arial" w:hAnsi="Arial"/>
          <w:color w:val="252D3C"/>
          <w:sz w:val="18"/>
        </w:rPr>
        <w:t>Detailkonzepte und Einzeldossiers: eigene Unterseiten mit Online-Volltext und Download.</w:t>
      </w:r>
    </w:p>
    <w:p>
      <w:pPr>
        <w:spacing w:after="40"/>
        <w:ind w:left="317" w:hanging="202"/>
      </w:pPr>
      <w:r>
        <w:rPr>
          <w:rFonts w:ascii="Arial" w:hAnsi="Arial"/>
          <w:b/>
          <w:color w:val="287D5C"/>
        </w:rPr>
        <w:t xml:space="preserve">• </w:t>
      </w:r>
      <w:r>
        <w:rPr>
          <w:rFonts w:ascii="Arial" w:hAnsi="Arial"/>
          <w:color w:val="252D3C"/>
          <w:sz w:val="18"/>
        </w:rPr>
        <w:t>Tool: Wohnwirkungsrechner mit WIX-Wohn, Mietbelastung, Sanierungswirkung, Quartiersprofil und politischer Variantenansicht.</w:t>
      </w:r>
    </w:p>
    <w:p>
      <w:pPr>
        <w:pStyle w:val="Heading2"/>
      </w:pPr>
      <w:r>
        <w:t>Quellen- und Datenbasis</w:t>
      </w:r>
    </w:p>
    <w:p>
      <w:pPr>
        <w:spacing w:after="100"/>
      </w:pPr>
      <w:r>
        <w:rPr>
          <w:rFonts w:ascii="Arial" w:hAnsi="Arial"/>
          <w:b w:val="0"/>
          <w:color w:val="252D3C"/>
          <w:sz w:val="19"/>
        </w:rPr>
        <w:t>Die folgenden Quellen dienen als Ausgangspunkt für die Online-Fassung, die Berechnungsbeispiele und die politische Anschlussfähigkeit. Modellwerte sind als Arbeitsannahmen gekennzeichnet und ersetzen keine amtliche Berechnung.</w:t>
      </w:r>
    </w:p>
    <w:p>
      <w:r>
        <w:rPr>
          <w:rFonts w:ascii="Arial" w:hAnsi="Arial"/>
          <w:color w:val="252D3C"/>
          <w:sz w:val="17"/>
        </w:rPr>
        <w:t xml:space="preserve">• Destatis: Wohnen in Deutschland: </w:t>
      </w:r>
      <w:hyperlink r:id="rId12">
        <w:r>
          <w:rPr>
            <w:color w:val="287D5C"/>
            <w:u w:val="single"/>
          </w:rPr>
          <w:t>https://www.destatis.de/DE/Themen/Gesellschaft-Umwelt/Wohnen/_inhalt.html</w:t>
        </w:r>
      </w:hyperlink>
    </w:p>
    <w:p>
      <w:r>
        <w:rPr>
          <w:rFonts w:ascii="Arial" w:hAnsi="Arial"/>
          <w:color w:val="252D3C"/>
          <w:sz w:val="17"/>
        </w:rPr>
        <w:t xml:space="preserve">• Destatis/Eurostat: Wohnkostenüberbelastung 2025: </w:t>
      </w:r>
      <w:hyperlink r:id="rId13">
        <w:r>
          <w:rPr>
            <w:color w:val="287D5C"/>
            <w:u w:val="single"/>
          </w:rPr>
          <w:t>https://www.destatis.de/Europa/DE/Thema/Bevoelkerung-Arbeit-Soziales/Soziales-Lebensbedingungen/Wohnkosten.html</w:t>
        </w:r>
      </w:hyperlink>
    </w:p>
    <w:p>
      <w:r>
        <w:rPr>
          <w:rFonts w:ascii="Arial" w:hAnsi="Arial"/>
          <w:color w:val="252D3C"/>
          <w:sz w:val="17"/>
        </w:rPr>
        <w:t xml:space="preserve">• BBSR: Wohnungsbedarfsprognose 2025: </w:t>
      </w:r>
      <w:hyperlink r:id="rId14">
        <w:r>
          <w:rPr>
            <w:color w:val="287D5C"/>
            <w:u w:val="single"/>
          </w:rPr>
          <w:t>https://www.bbsr.bund.de/BBSR/DE/presse/presseinformationen/2025/wohnungsbedarfsprognose.html</w:t>
        </w:r>
      </w:hyperlink>
    </w:p>
    <w:p>
      <w:r>
        <w:rPr>
          <w:rFonts w:ascii="Arial" w:hAnsi="Arial"/>
          <w:color w:val="252D3C"/>
          <w:sz w:val="17"/>
        </w:rPr>
        <w:t xml:space="preserve">• Umweltbundesamt: Emissionsdaten 2024 – Gebäude: </w:t>
      </w:r>
      <w:hyperlink r:id="rId15">
        <w:r>
          <w:rPr>
            <w:color w:val="287D5C"/>
            <w:u w:val="single"/>
          </w:rPr>
          <w:t>https://www.umweltbundesamt.de/system/files?file=medien/11867/dokumente/emissionsdaten_2024_-_pressehintergrundinformationen.pdf</w:t>
        </w:r>
      </w:hyperlink>
    </w:p>
    <w:p>
      <w:r>
        <w:rPr>
          <w:rFonts w:ascii="Arial" w:hAnsi="Arial"/>
          <w:color w:val="252D3C"/>
          <w:sz w:val="17"/>
        </w:rPr>
        <w:t xml:space="preserve">• Europäische Kommission: Energy Performance of Buildings Directive: </w:t>
      </w:r>
      <w:hyperlink r:id="rId16">
        <w:r>
          <w:rPr>
            <w:color w:val="287D5C"/>
            <w:u w:val="single"/>
          </w:rPr>
          <w:t>https://energy.ec.europa.eu/topics/energy-efficiency/energy-performance-buildings/energy-performance-buildings-directive_en</w:t>
        </w:r>
      </w:hyperlink>
    </w:p>
    <w:p>
      <w:r>
        <w:rPr>
          <w:rFonts w:ascii="Arial" w:hAnsi="Arial"/>
          <w:color w:val="252D3C"/>
          <w:sz w:val="17"/>
        </w:rPr>
        <w:t xml:space="preserve">• Interne WÖk-Basis: Working-Paper Wohnungsmarkt, Systemmodell, Buchfassung 2026, Begriffsleitfaden: </w:t>
      </w:r>
      <w:r>
        <w:rPr>
          <w:rFonts w:ascii="Arial" w:hAnsi="Arial"/>
          <w:color w:val="6F6F6F"/>
          <w:sz w:val="17"/>
        </w:rPr>
        <w:t>/werkstatt/arbeitsbibliothek/wirkungsfelder/wohnen-stadt/</w:t>
      </w:r>
    </w:p>
    <w:sectPr w:rsidR="00FC693F" w:rsidRPr="0006063C" w:rsidSect="00034616">
      <w:headerReference w:type="default" r:id="rId9"/>
      <w:footerReference w:type="default" r:id="rId10"/>
      <w:pgSz w:w="12240" w:h="15840"/>
      <w:pgMar w:top="1080" w:right="1080" w:bottom="1008" w:left="108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F6F6F"/>
        <w:sz w:val="14"/>
      </w:rPr>
      <w:t>© Natalie Weber · Wirkungsökonomie · v0.1 · Arbeitsfassung / Diskussionsfassung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Georgia" w:hAnsi="Georgia"/>
        <w:b/>
        <w:color w:val="001832"/>
        <w:sz w:val="18"/>
      </w:rPr>
      <w:t>WIRKUNGSÖKONOMIE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52D3C"/>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01832"/>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01832"/>
      <w:sz w:val="27"/>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01832"/>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b/>
      <w:color w:val="001832"/>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hyperlink" Target="https://www.destatis.de/DE/Themen/Gesellschaft-Umwelt/Wohnen/_inhalt.html" TargetMode="External"/><Relationship Id="rId13" Type="http://schemas.openxmlformats.org/officeDocument/2006/relationships/hyperlink" Target="https://www.destatis.de/Europa/DE/Thema/Bevoelkerung-Arbeit-Soziales/Soziales-Lebensbedingungen/Wohnkosten.html" TargetMode="External"/><Relationship Id="rId14" Type="http://schemas.openxmlformats.org/officeDocument/2006/relationships/hyperlink" Target="https://www.bbsr.bund.de/BBSR/DE/presse/presseinformationen/2025/wohnungsbedarfsprognose.html" TargetMode="External"/><Relationship Id="rId15" Type="http://schemas.openxmlformats.org/officeDocument/2006/relationships/hyperlink" Target="https://www.umweltbundesamt.de/system/files?file=medien/11867/dokumente/emissionsdaten_2024_-_pressehintergrundinformationen.pdf" TargetMode="External"/><Relationship Id="rId16" Type="http://schemas.openxmlformats.org/officeDocument/2006/relationships/hyperlink" Target="https://energy.ec.europa.eu/topics/energy-efficiency/energy-performance-buildings/energy-performance-buildings-directiv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